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6"/>
          <w:rFonts w:ascii="黑体" w:hAnsi="黑体" w:eastAsia="黑体"/>
          <w:sz w:val="36"/>
          <w:szCs w:val="36"/>
        </w:rPr>
      </w:pPr>
      <w:bookmarkStart w:id="0" w:name="_Toc74121967"/>
      <w:r>
        <w:rPr>
          <w:rStyle w:val="6"/>
          <w:rFonts w:hint="eastAsia" w:ascii="黑体" w:hAnsi="黑体" w:eastAsia="黑体"/>
          <w:sz w:val="36"/>
          <w:szCs w:val="36"/>
        </w:rPr>
        <w:t>《民族民间音乐（二）》课程教学大纲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both"/>
              <w:rPr>
                <w:rFonts w:ascii="宋体" w:hAnsi="宋体"/>
              </w:rPr>
            </w:pPr>
            <w:r>
              <w:rPr>
                <w:rFonts w:ascii="宋体" w:hAnsi="宋体"/>
              </w:rPr>
              <w:t>Folk Music I</w:t>
            </w:r>
            <w:r>
              <w:rPr>
                <w:rFonts w:hint="eastAsia" w:ascii="宋体" w:hAnsi="宋体"/>
              </w:rPr>
              <w:t>I</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jc w:val="both"/>
              <w:rPr>
                <w:rFonts w:ascii="宋体" w:hAnsi="宋体"/>
              </w:rPr>
            </w:pPr>
            <w:r>
              <w:rPr>
                <w:rFonts w:hint="eastAsia" w:ascii="宋体" w:hAnsi="宋体"/>
              </w:rPr>
              <w:t>MUSI</w:t>
            </w:r>
            <w:r>
              <w:rPr>
                <w:rFonts w:ascii="宋体" w:hAnsi="宋体"/>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both"/>
              <w:rPr>
                <w:rFonts w:ascii="宋体" w:hAnsi="宋体"/>
              </w:rPr>
            </w:pPr>
            <w:r>
              <w:rPr>
                <w:rFonts w:hint="eastAsia" w:ascii="宋体" w:hAnsi="宋体"/>
                <w:lang w:val="en-US" w:eastAsia="zh-CN"/>
              </w:rPr>
              <w:t>学科基础</w:t>
            </w:r>
            <w:r>
              <w:rPr>
                <w:rFonts w:hint="eastAsia" w:ascii="宋体" w:hAnsi="宋体"/>
              </w:rPr>
              <w:t>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jc w:val="both"/>
              <w:rPr>
                <w:rFonts w:ascii="宋体" w:hAnsi="宋体"/>
              </w:rPr>
            </w:pPr>
            <w:r>
              <w:rPr>
                <w:rFonts w:hint="eastAsia" w:ascii="宋体" w:hAnsi="宋体"/>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both"/>
              <w:rPr>
                <w:rFonts w:ascii="宋体" w:hAnsi="宋体"/>
              </w:rPr>
            </w:pPr>
            <w:r>
              <w:rPr>
                <w:rFonts w:hint="eastAsia" w:ascii="宋体" w:hAnsi="宋体"/>
              </w:rPr>
              <w:t>2</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jc w:val="both"/>
              <w:rPr>
                <w:rFonts w:ascii="宋体" w:hAnsi="宋体"/>
              </w:rPr>
            </w:pPr>
            <w:r>
              <w:rPr>
                <w:rFonts w:hint="eastAsia" w:ascii="宋体" w:hAnsi="宋体"/>
              </w:rPr>
              <w:t>3</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both"/>
              <w:rPr>
                <w:rFonts w:ascii="宋体" w:hAnsi="宋体"/>
              </w:rPr>
            </w:pPr>
            <w:r>
              <w:rPr>
                <w:rFonts w:hint="eastAsia" w:ascii="宋体" w:hAnsi="宋体"/>
              </w:rPr>
              <w:t>孔志轩</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jc w:val="both"/>
              <w:rPr>
                <w:rFonts w:hint="default" w:ascii="宋体" w:hAnsi="宋体" w:eastAsia="宋体"/>
                <w:lang w:val="en-US" w:eastAsia="zh-CN"/>
              </w:rPr>
            </w:pPr>
            <w:r>
              <w:rPr>
                <w:rFonts w:hint="eastAsia" w:ascii="宋体" w:hAnsi="宋体"/>
              </w:rPr>
              <w:t>2</w:t>
            </w:r>
            <w:r>
              <w:rPr>
                <w:rFonts w:ascii="宋体" w:hAnsi="宋体"/>
              </w:rPr>
              <w:t>02</w:t>
            </w:r>
            <w:r>
              <w:rPr>
                <w:rFonts w:hint="eastAsia" w:ascii="宋体" w:hAnsi="宋体"/>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spacing w:before="156" w:beforeLines="50" w:after="156" w:afterLines="50"/>
              <w:jc w:val="both"/>
              <w:rPr>
                <w:rFonts w:ascii="宋体" w:hAnsi="宋体"/>
              </w:rPr>
            </w:pPr>
            <w:r>
              <w:rPr>
                <w:rFonts w:hint="eastAsia" w:ascii="宋体" w:hAnsi="宋体"/>
              </w:rPr>
              <w:t>刘红、郭树荟主编，《中国传统音乐》(上)，上海音乐学院出版社</w:t>
            </w: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bCs/>
        </w:rPr>
      </w:pPr>
      <w:r>
        <w:rPr>
          <w:rFonts w:hint="eastAsia" w:hAnsi="宋体" w:cs="宋体"/>
        </w:rPr>
        <w:t>《民族民间音乐（二）》是面向</w:t>
      </w:r>
      <w:r>
        <w:rPr>
          <w:rFonts w:hint="eastAsia" w:hAnsi="宋体" w:cs="仿宋"/>
          <w:szCs w:val="21"/>
        </w:rPr>
        <w:t>师范生开设的一门</w:t>
      </w:r>
      <w:r>
        <w:rPr>
          <w:rFonts w:hint="eastAsia" w:ascii="宋体" w:hAnsi="宋体"/>
          <w:lang w:val="en-US" w:eastAsia="zh-CN"/>
        </w:rPr>
        <w:t>学科基础</w:t>
      </w:r>
      <w:r>
        <w:rPr>
          <w:rFonts w:hint="eastAsia" w:hAnsi="宋体" w:cs="仿宋"/>
          <w:szCs w:val="21"/>
        </w:rPr>
        <w:t>课程，属专业教学课程群中的必修课。</w:t>
      </w:r>
      <w:r>
        <w:rPr>
          <w:rFonts w:hint="eastAsia" w:hAnsi="宋体" w:cs="宋体"/>
        </w:rPr>
        <w:t>本课程结合教师主讲、师生互动、多媒体观摩的方式，让</w:t>
      </w:r>
      <w:r>
        <w:rPr>
          <w:rFonts w:hint="eastAsia" w:hAnsi="宋体" w:cs="宋体"/>
          <w:bCs/>
        </w:rPr>
        <w:t>学生熟知民歌、民族器乐的历史、文化、本体和风格等知识，能够运用恰当的方式模唱出重要作品的全部或片段，并且让学生理解相关理论产生的缘由，在互动中强调学生运用逻辑清晰的语言生动阐述知识与个人的思考，激发他们对中国传统文化的热爱，强化他们的民族自信心，使他们未来在工作岗位上能够游刃有余地选用自己擅长的知识讲述中国故事、传播社会主义核心价值观。</w:t>
      </w:r>
    </w:p>
    <w:p>
      <w:pPr>
        <w:pStyle w:val="2"/>
        <w:spacing w:before="156" w:beforeLines="50" w:after="156" w:afterLines="50"/>
        <w:ind w:firstLine="420" w:firstLineChars="200"/>
        <w:rPr>
          <w:rFonts w:hAnsi="宋体" w:cs="宋体"/>
        </w:rPr>
      </w:pP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b/>
        </w:rPr>
      </w:pPr>
      <w:r>
        <w:rPr>
          <w:rFonts w:hint="eastAsia" w:hAnsi="宋体" w:cs="宋体"/>
          <w:b/>
        </w:rPr>
        <w:t>课程目标1：</w:t>
      </w:r>
    </w:p>
    <w:p>
      <w:pPr>
        <w:pStyle w:val="2"/>
        <w:spacing w:before="156" w:beforeLines="50" w:after="156" w:afterLines="50"/>
        <w:ind w:firstLine="420" w:firstLineChars="200"/>
        <w:rPr>
          <w:rFonts w:hAnsi="宋体" w:cs="宋体"/>
        </w:rPr>
      </w:pPr>
      <w:r>
        <w:rPr>
          <w:rFonts w:hint="eastAsia" w:hAnsi="宋体" w:cs="宋体"/>
        </w:rPr>
        <w:t>1.1</w:t>
      </w:r>
      <w:r>
        <w:rPr>
          <w:rFonts w:hAnsi="宋体" w:cs="宋体"/>
        </w:rPr>
        <w:t xml:space="preserve"> </w:t>
      </w:r>
      <w:r>
        <w:rPr>
          <w:rFonts w:hint="eastAsia" w:hAnsi="宋体" w:cs="宋体"/>
        </w:rPr>
        <w:t>通过教师讲授、多媒体观摩，熟知戏曲、曲艺相关的理论知识；</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w:t>
      </w:r>
      <w:r>
        <w:rPr>
          <w:rFonts w:hAnsi="宋体" w:cs="宋体"/>
        </w:rPr>
        <w:t xml:space="preserve"> </w:t>
      </w:r>
      <w:r>
        <w:rPr>
          <w:rFonts w:hint="eastAsia" w:hAnsi="宋体" w:cs="宋体"/>
        </w:rPr>
        <w:t>通过反复练习模唱，掌握中国各个地区民间戏曲和曲艺的风格。</w:t>
      </w:r>
    </w:p>
    <w:p>
      <w:pPr>
        <w:pStyle w:val="2"/>
        <w:spacing w:before="156" w:beforeLines="50" w:after="156" w:afterLines="50"/>
        <w:ind w:firstLine="420" w:firstLineChars="200"/>
        <w:rPr>
          <w:rFonts w:hAnsi="宋体" w:cs="宋体"/>
          <w:b/>
        </w:rPr>
      </w:pPr>
      <w:r>
        <w:rPr>
          <w:rFonts w:hint="eastAsia" w:hAnsi="宋体" w:cs="宋体"/>
          <w:b/>
        </w:rPr>
        <w:t>课程目标2：</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.1</w:t>
      </w:r>
      <w:r>
        <w:rPr>
          <w:rFonts w:hAnsi="宋体" w:cs="宋体"/>
        </w:rPr>
        <w:t xml:space="preserve"> </w:t>
      </w:r>
      <w:r>
        <w:rPr>
          <w:rFonts w:hint="eastAsia" w:hAnsi="宋体" w:cs="宋体"/>
        </w:rPr>
        <w:t>从音乐形态出发，让学生积极思考、探讨音乐与社会的关系；</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w:t>
      </w:r>
      <w:r>
        <w:rPr>
          <w:rFonts w:hAnsi="宋体" w:cs="宋体"/>
        </w:rPr>
        <w:t xml:space="preserve"> </w:t>
      </w:r>
      <w:r>
        <w:rPr>
          <w:rFonts w:hint="eastAsia" w:hAnsi="宋体" w:cs="宋体"/>
        </w:rPr>
        <w:t>开展小组讨论，分析不同地区的音乐风格与地方传统文化之间的内在联系。</w:t>
      </w:r>
    </w:p>
    <w:p>
      <w:pPr>
        <w:pStyle w:val="2"/>
        <w:spacing w:before="156" w:beforeLines="50" w:after="156" w:afterLines="50"/>
        <w:ind w:firstLine="420" w:firstLineChars="200"/>
        <w:rPr>
          <w:rFonts w:hAnsi="宋体" w:cs="宋体"/>
          <w:b/>
        </w:rPr>
      </w:pPr>
      <w:r>
        <w:rPr>
          <w:rFonts w:hint="eastAsia" w:hAnsi="宋体" w:cs="宋体"/>
          <w:b/>
        </w:rPr>
        <w:t>课程目标3：</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.1</w:t>
      </w:r>
      <w:r>
        <w:rPr>
          <w:rFonts w:hAnsi="宋体" w:cs="宋体"/>
        </w:rPr>
        <w:t xml:space="preserve"> </w:t>
      </w:r>
      <w:r>
        <w:rPr>
          <w:rFonts w:hint="eastAsia" w:hAnsi="宋体" w:cs="宋体"/>
        </w:rPr>
        <w:t>让学生懂得中国传统文化之美，强化民族自信心，激发他们对国家美好未来的向往；</w:t>
      </w:r>
    </w:p>
    <w:p>
      <w:pPr>
        <w:pStyle w:val="2"/>
        <w:spacing w:before="156" w:beforeLines="50" w:after="156" w:afterLines="50"/>
        <w:ind w:firstLine="420" w:firstLineChars="200"/>
        <w:rPr>
          <w:rFonts w:hAnsi="宋体" w:cs="宋体"/>
        </w:rPr>
      </w:pPr>
      <w:r>
        <w:rPr>
          <w:rFonts w:hAnsi="宋体" w:cs="宋体"/>
        </w:rPr>
        <w:t>3</w:t>
      </w:r>
      <w:r>
        <w:rPr>
          <w:rFonts w:hint="eastAsia" w:hAnsi="宋体" w:cs="宋体"/>
        </w:rPr>
        <w:t>.2</w:t>
      </w:r>
      <w:r>
        <w:rPr>
          <w:rFonts w:hAnsi="宋体" w:cs="宋体"/>
        </w:rPr>
        <w:t xml:space="preserve"> </w:t>
      </w:r>
      <w:r>
        <w:rPr>
          <w:rFonts w:hint="eastAsia" w:hAnsi="宋体" w:cs="宋体"/>
        </w:rPr>
        <w:t>通过戏曲、曲艺的欣赏与思考，理解中国人民的家国情怀，领悟中国劳动人民的勤劳与智慧。</w:t>
      </w:r>
    </w:p>
    <w:p>
      <w:pPr>
        <w:widowControl/>
        <w:jc w:val="left"/>
        <w:rPr>
          <w:rFonts w:ascii="黑体" w:hAnsi="黑体" w:eastAsia="黑体" w:cs="宋体"/>
          <w:sz w:val="24"/>
        </w:rPr>
      </w:pPr>
      <w:r>
        <w:rPr>
          <w:rFonts w:ascii="黑体" w:hAnsi="黑体" w:eastAsia="黑体" w:cs="宋体"/>
          <w:sz w:val="24"/>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rPr>
          <w:trHeight w:val="1189"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r>
              <w:rPr>
                <w:rFonts w:hAnsi="宋体" w:cs="宋体"/>
              </w:rPr>
              <w:t xml:space="preserve"> </w:t>
            </w:r>
            <w:r>
              <w:rPr>
                <w:rFonts w:hint="eastAsia" w:hAnsi="宋体" w:cs="宋体"/>
              </w:rPr>
              <w:t>通过教师讲授、多媒体观摩，熟知戏曲、曲艺相关的理论知识；</w:t>
            </w:r>
          </w:p>
        </w:tc>
        <w:tc>
          <w:tcPr>
            <w:tcW w:w="3118" w:type="dxa"/>
            <w:vMerge w:val="restart"/>
            <w:vAlign w:val="center"/>
          </w:tcPr>
          <w:p>
            <w:pPr>
              <w:pStyle w:val="2"/>
              <w:spacing w:before="156" w:beforeLines="50" w:after="156" w:afterLines="50"/>
              <w:jc w:val="center"/>
              <w:rPr>
                <w:rFonts w:hAnsi="宋体" w:cs="宋体"/>
              </w:rPr>
            </w:pPr>
            <w:r>
              <w:rPr>
                <w:rFonts w:hint="eastAsia" w:hAnsi="宋体" w:cs="宋体"/>
              </w:rPr>
              <w:t>各个地区戏曲、曲艺的风格、历史沿革、文化内涵、风格流派等基本常识。</w:t>
            </w:r>
          </w:p>
        </w:tc>
        <w:tc>
          <w:tcPr>
            <w:tcW w:w="2688" w:type="dxa"/>
            <w:vMerge w:val="restart"/>
            <w:vAlign w:val="center"/>
          </w:tcPr>
          <w:p>
            <w:pPr>
              <w:pStyle w:val="2"/>
              <w:spacing w:before="156" w:beforeLines="50" w:after="156" w:afterLines="50"/>
              <w:jc w:val="center"/>
              <w:rPr>
                <w:rFonts w:hAnsi="宋体" w:cs="宋体"/>
                <w:bCs/>
              </w:rPr>
            </w:pPr>
            <w:r>
              <w:rPr>
                <w:rFonts w:hint="eastAsia" w:hAnsi="宋体" w:cs="宋体"/>
                <w:bCs/>
              </w:rPr>
              <w:t>3</w:t>
            </w:r>
            <w:r>
              <w:rPr>
                <w:rFonts w:hAnsi="宋体" w:cs="宋体"/>
                <w:bCs/>
              </w:rPr>
              <w:t>-1</w:t>
            </w:r>
            <w:r>
              <w:rPr>
                <w:rFonts w:hint="eastAsia" w:hAnsi="宋体" w:cs="宋体"/>
                <w:bCs/>
              </w:rPr>
              <w:t>【学科知识】</w:t>
            </w:r>
            <w:r>
              <w:rPr>
                <w:rFonts w:hAnsi="宋体" w:cs="宋体"/>
                <w:bCs/>
              </w:rPr>
              <w:t>掌握音乐学科核心素养，了解音乐学科发展的历史、现状和趋势，掌握音乐学科的基本知识、基本原理和基本技能，掌握音乐学科知识体系和思想方法。</w:t>
            </w:r>
          </w:p>
        </w:tc>
      </w:tr>
      <w:tr>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r>
              <w:rPr>
                <w:rFonts w:hAnsi="宋体" w:cs="宋体"/>
              </w:rPr>
              <w:t xml:space="preserve"> </w:t>
            </w:r>
            <w:r>
              <w:rPr>
                <w:rFonts w:hint="eastAsia" w:hAnsi="宋体" w:cs="宋体"/>
              </w:rPr>
              <w:t>通过反复练习模唱，掌握中国各个地区戏曲和曲艺的风格。</w:t>
            </w:r>
          </w:p>
        </w:tc>
        <w:tc>
          <w:tcPr>
            <w:tcW w:w="3118" w:type="dxa"/>
            <w:vMerge w:val="continue"/>
            <w:vAlign w:val="center"/>
          </w:tcPr>
          <w:p>
            <w:pPr>
              <w:pStyle w:val="2"/>
              <w:spacing w:before="156" w:beforeLines="50" w:after="156" w:afterLines="50"/>
              <w:jc w:val="center"/>
              <w:rPr>
                <w:rFonts w:hAnsi="宋体" w:cs="宋体"/>
              </w:rPr>
            </w:pPr>
          </w:p>
        </w:tc>
        <w:tc>
          <w:tcPr>
            <w:tcW w:w="2688" w:type="dxa"/>
            <w:vMerge w:val="continue"/>
            <w:vAlign w:val="center"/>
          </w:tcPr>
          <w:p>
            <w:pPr>
              <w:pStyle w:val="2"/>
              <w:spacing w:before="156" w:beforeLines="50" w:after="156" w:afterLines="50"/>
              <w:jc w:val="center"/>
              <w:rPr>
                <w:rFonts w:hAnsi="宋体" w:cs="宋体"/>
              </w:rPr>
            </w:pPr>
          </w:p>
        </w:tc>
      </w:tr>
      <w:tr>
        <w:trPr>
          <w:trHeight w:val="942"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r>
              <w:rPr>
                <w:rFonts w:hAnsi="宋体" w:cs="宋体"/>
              </w:rPr>
              <w:t xml:space="preserve"> </w:t>
            </w:r>
            <w:r>
              <w:rPr>
                <w:rFonts w:hint="eastAsia" w:hAnsi="宋体" w:cs="宋体"/>
              </w:rPr>
              <w:t>从音乐的形态出发，让学生积极思考、探讨音乐与社会的关系；</w:t>
            </w:r>
          </w:p>
        </w:tc>
        <w:tc>
          <w:tcPr>
            <w:tcW w:w="3118" w:type="dxa"/>
            <w:vMerge w:val="restart"/>
            <w:vAlign w:val="center"/>
          </w:tcPr>
          <w:p>
            <w:pPr>
              <w:pStyle w:val="2"/>
              <w:spacing w:before="156" w:beforeLines="50" w:after="156" w:afterLines="50"/>
              <w:jc w:val="center"/>
              <w:rPr>
                <w:rFonts w:hAnsi="宋体" w:cs="宋体"/>
              </w:rPr>
            </w:pPr>
            <w:r>
              <w:rPr>
                <w:rFonts w:hint="eastAsia" w:hAnsi="宋体" w:cs="宋体"/>
              </w:rPr>
              <w:t>中国地方传统文化常识，音乐形态与音乐风格的基本知识，音乐作品所反映出的各地风土人情。</w:t>
            </w:r>
          </w:p>
        </w:tc>
        <w:tc>
          <w:tcPr>
            <w:tcW w:w="2688" w:type="dxa"/>
            <w:vMerge w:val="restart"/>
            <w:vAlign w:val="center"/>
          </w:tcPr>
          <w:p>
            <w:pPr>
              <w:pStyle w:val="2"/>
              <w:spacing w:before="156" w:beforeLines="50" w:after="156" w:afterLines="50"/>
              <w:jc w:val="center"/>
              <w:rPr>
                <w:rFonts w:hAnsi="宋体" w:cs="宋体"/>
                <w:bCs/>
              </w:rPr>
            </w:pPr>
            <w:r>
              <w:rPr>
                <w:rFonts w:hAnsi="宋体" w:cs="宋体"/>
                <w:bCs/>
              </w:rPr>
              <w:t>3-2</w:t>
            </w:r>
            <w:r>
              <w:rPr>
                <w:rFonts w:hint="eastAsia" w:hAnsi="宋体" w:cs="宋体"/>
                <w:bCs/>
              </w:rPr>
              <w:t>【知识整合】</w:t>
            </w:r>
            <w:r>
              <w:rPr>
                <w:rFonts w:hAnsi="宋体" w:cs="宋体"/>
                <w:bCs/>
              </w:rPr>
              <w:t>了解音乐学科与其他学科以及社会实践、学生生活实践、传统文化的内在联系，具备知识整合能力。</w:t>
            </w:r>
          </w:p>
        </w:tc>
      </w:tr>
      <w:tr>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w:t>
            </w:r>
            <w:r>
              <w:rPr>
                <w:rFonts w:hAnsi="宋体" w:cs="宋体"/>
              </w:rPr>
              <w:t xml:space="preserve"> </w:t>
            </w:r>
            <w:r>
              <w:rPr>
                <w:rFonts w:hint="eastAsia" w:hAnsi="宋体" w:cs="宋体"/>
              </w:rPr>
              <w:t>开展小组讨论，分析不同地区的音乐风格与地方传统文化之间的内在联系。</w:t>
            </w:r>
          </w:p>
        </w:tc>
        <w:tc>
          <w:tcPr>
            <w:tcW w:w="311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r>
        <w:trPr>
          <w:trHeight w:val="1479"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rPr>
                <w:rFonts w:hAnsi="宋体" w:cs="宋体"/>
              </w:rPr>
            </w:pPr>
            <w:r>
              <w:rPr>
                <w:rFonts w:hint="eastAsia" w:hAnsi="宋体" w:cs="宋体"/>
                <w:szCs w:val="21"/>
              </w:rPr>
              <w:t>3</w:t>
            </w:r>
            <w:r>
              <w:rPr>
                <w:rFonts w:hAnsi="宋体" w:cs="宋体"/>
                <w:szCs w:val="21"/>
              </w:rPr>
              <w:t xml:space="preserve">.1 </w:t>
            </w:r>
            <w:r>
              <w:rPr>
                <w:rFonts w:hint="eastAsia" w:hAnsi="宋体" w:cs="宋体"/>
              </w:rPr>
              <w:t>让学生懂得中国传统文化之美，强化民族自信心，激发他们对国家美好未来的向往；</w:t>
            </w:r>
          </w:p>
        </w:tc>
        <w:tc>
          <w:tcPr>
            <w:tcW w:w="3118" w:type="dxa"/>
            <w:vMerge w:val="restart"/>
            <w:vAlign w:val="center"/>
          </w:tcPr>
          <w:p>
            <w:pPr>
              <w:pStyle w:val="2"/>
              <w:spacing w:before="156" w:beforeLines="50" w:after="156" w:afterLines="50"/>
              <w:jc w:val="center"/>
              <w:rPr>
                <w:rFonts w:ascii="黑体" w:hAnsi="宋体"/>
                <w:szCs w:val="21"/>
              </w:rPr>
            </w:pPr>
            <w:r>
              <w:rPr>
                <w:rFonts w:hint="eastAsia" w:ascii="黑体" w:hAnsi="宋体"/>
                <w:szCs w:val="21"/>
              </w:rPr>
              <w:t>音乐作品背后的文化内涵，探讨中国传统音乐中所展现的民间传说、民族性格和民族气节，以及其中蕴含的哲理与社会主义核心价值观。</w:t>
            </w:r>
          </w:p>
        </w:tc>
        <w:tc>
          <w:tcPr>
            <w:tcW w:w="2688" w:type="dxa"/>
            <w:vMerge w:val="restart"/>
            <w:vAlign w:val="center"/>
          </w:tcPr>
          <w:p>
            <w:pPr>
              <w:pStyle w:val="2"/>
              <w:spacing w:before="156" w:beforeLines="50" w:after="156" w:afterLines="50"/>
              <w:jc w:val="center"/>
              <w:rPr>
                <w:rFonts w:hAnsi="宋体" w:cs="宋体"/>
                <w:bCs/>
              </w:rPr>
            </w:pPr>
            <w:r>
              <w:rPr>
                <w:rFonts w:hint="eastAsia" w:hAnsi="宋体" w:cs="宋体"/>
                <w:bCs/>
              </w:rPr>
              <w:t>6</w:t>
            </w:r>
            <w:r>
              <w:rPr>
                <w:rFonts w:hAnsi="宋体" w:cs="宋体"/>
                <w:bCs/>
              </w:rPr>
              <w:t>-2</w:t>
            </w:r>
            <w:r>
              <w:rPr>
                <w:rFonts w:hint="eastAsia" w:hAnsi="宋体" w:cs="宋体"/>
                <w:bCs/>
              </w:rPr>
              <w:t>【育人实践】</w:t>
            </w:r>
            <w:r>
              <w:rPr>
                <w:rFonts w:hAnsi="宋体" w:cs="宋体"/>
                <w:bCs/>
              </w:rPr>
              <w:t>领会音乐学科独特的育人价值，深入挖掘课程思想政治教育资源，注重课程教学的思想性，能够有机结合音乐学科教学进行育人活动，将知识学习、能力发展与品德养成相结合，合理设计育人目标、主题和内容。</w:t>
            </w:r>
          </w:p>
        </w:tc>
      </w:tr>
      <w:tr>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szCs w:val="21"/>
              </w:rPr>
            </w:pPr>
            <w:r>
              <w:rPr>
                <w:rFonts w:hint="eastAsia" w:hAnsi="宋体" w:cs="宋体"/>
                <w:szCs w:val="21"/>
              </w:rPr>
              <w:t>3</w:t>
            </w:r>
            <w:r>
              <w:rPr>
                <w:rFonts w:hAnsi="宋体" w:cs="宋体"/>
                <w:szCs w:val="21"/>
              </w:rPr>
              <w:t xml:space="preserve">.2 </w:t>
            </w:r>
            <w:r>
              <w:rPr>
                <w:rFonts w:hint="eastAsia" w:hAnsi="宋体" w:cs="宋体"/>
              </w:rPr>
              <w:t>通过戏曲和曲艺作品的欣赏与思考，理解中国人民的家国情怀，领悟中国劳动人民的勤劳与智慧。</w:t>
            </w:r>
          </w:p>
        </w:tc>
        <w:tc>
          <w:tcPr>
            <w:tcW w:w="3118" w:type="dxa"/>
            <w:vMerge w:val="continue"/>
            <w:vAlign w:val="center"/>
          </w:tcPr>
          <w:p>
            <w:pPr>
              <w:pStyle w:val="2"/>
              <w:spacing w:before="156" w:beforeLines="50" w:after="156" w:afterLines="50"/>
              <w:jc w:val="center"/>
              <w:rPr>
                <w:rFonts w:ascii="黑体" w:hAnsi="宋体"/>
                <w:b/>
                <w:bCs/>
                <w:szCs w:val="21"/>
              </w:rPr>
            </w:pP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0" w:firstLineChars="200"/>
        <w:jc w:val="left"/>
      </w:pPr>
      <w:r>
        <w:rPr>
          <w:rFonts w:hint="eastAsia" w:ascii="黑体" w:hAnsi="黑体" w:eastAsia="黑体"/>
          <w:b/>
          <w:sz w:val="24"/>
        </w:rPr>
        <w:t>第一章</w:t>
      </w:r>
      <w:r>
        <w:rPr>
          <w:rFonts w:ascii="黑体" w:hAnsi="黑体" w:eastAsia="黑体"/>
          <w:b/>
          <w:sz w:val="24"/>
        </w:rPr>
        <w:t xml:space="preserve"> </w:t>
      </w:r>
      <w:r>
        <w:rPr>
          <w:rFonts w:hint="eastAsia" w:ascii="黑体" w:hAnsi="黑体" w:eastAsia="黑体"/>
          <w:b/>
          <w:sz w:val="24"/>
        </w:rPr>
        <w:t>戏曲和曲艺概论</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从宏观上概览中国传统音乐中戏曲、曲艺的艺术概况，让学生对本学期的学习任务有了基本的了解。</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重点：理解戏曲和曲艺的主要特征</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难点：戏曲、曲艺的发展与中国历史的关系</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）梳理戏曲发展史、相关基本概念</w:t>
      </w:r>
    </w:p>
    <w:p>
      <w:pPr>
        <w:widowControl/>
        <w:spacing w:before="156" w:beforeLines="50" w:after="156" w:afterLines="50"/>
        <w:ind w:firstLine="420" w:firstLineChars="200"/>
        <w:jc w:val="left"/>
        <w:rPr>
          <w:rFonts w:ascii="宋体" w:hAnsi="宋体"/>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）梳理曲艺发展史、曲种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第二章</w:t>
      </w:r>
      <w:r>
        <w:rPr>
          <w:rFonts w:ascii="黑体" w:hAnsi="黑体" w:eastAsia="黑体"/>
          <w:b/>
          <w:sz w:val="24"/>
        </w:rPr>
        <w:t xml:space="preserve"> </w:t>
      </w:r>
      <w:r>
        <w:rPr>
          <w:rFonts w:hint="eastAsia" w:ascii="黑体" w:hAnsi="黑体" w:eastAsia="黑体"/>
          <w:b/>
          <w:sz w:val="24"/>
        </w:rPr>
        <w:t>昆腔系统</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通过本章学习，让学生了解和掌握昆腔系统的基本常识与艺术特征。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昆腔</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难点：昆腔成为百戏之母的原因</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水磨调的由来</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昆腔音乐特征</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昆曲支脉</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第三章</w:t>
      </w:r>
      <w:r>
        <w:rPr>
          <w:rFonts w:ascii="黑体" w:hAnsi="黑体" w:eastAsia="黑体"/>
          <w:b/>
          <w:sz w:val="24"/>
        </w:rPr>
        <w:t xml:space="preserve"> </w:t>
      </w:r>
      <w:r>
        <w:rPr>
          <w:rFonts w:hint="eastAsia" w:ascii="黑体" w:hAnsi="黑体" w:eastAsia="黑体"/>
          <w:b/>
          <w:sz w:val="24"/>
        </w:rPr>
        <w:t>高腔系统</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通过本章学习，让学生了解和掌握高腔系统的基本常识与艺术特征。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重点：高腔系统戏曲唱腔风格辨析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难点：不同高腔剧种的异同</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高腔系统的历史脉络</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高腔的音乐特征</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第三节 川剧</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第四节 赣剧</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第五节 湘剧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第四章</w:t>
      </w:r>
      <w:r>
        <w:rPr>
          <w:rFonts w:ascii="黑体" w:hAnsi="黑体" w:eastAsia="黑体"/>
          <w:b/>
          <w:sz w:val="24"/>
        </w:rPr>
        <w:t xml:space="preserve"> </w:t>
      </w:r>
      <w:r>
        <w:rPr>
          <w:rFonts w:hint="eastAsia" w:ascii="黑体" w:hAnsi="黑体" w:eastAsia="黑体"/>
          <w:b/>
          <w:sz w:val="24"/>
        </w:rPr>
        <w:t>梆子腔系统</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通过本章学习，让学生了解和掌握拉梆子腔系统的基本常识与艺术特征。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重点：梆子腔系统剧种风格辨析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难点：梆子腔的历史发展脉络</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梆子腔音乐特点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秦腔</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豫剧</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第四节 晋剧</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第五节 河北梆子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第五章</w:t>
      </w:r>
      <w:r>
        <w:rPr>
          <w:rFonts w:ascii="黑体" w:hAnsi="黑体" w:eastAsia="黑体"/>
          <w:b/>
          <w:sz w:val="24"/>
        </w:rPr>
        <w:t xml:space="preserve"> </w:t>
      </w:r>
      <w:r>
        <w:rPr>
          <w:rFonts w:hint="eastAsia" w:ascii="黑体" w:hAnsi="黑体" w:eastAsia="黑体"/>
          <w:b/>
          <w:sz w:val="24"/>
        </w:rPr>
        <w:t>皮黄腔系统</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通过本章学习，让学生了解和掌握皮黄腔系统的基本常识与艺术特征。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皮黄腔的</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难点：皮黄腔的内涵</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皮黄腔的音乐特征</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京剧</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粤剧</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第四节 汉剧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第六章</w:t>
      </w:r>
      <w:r>
        <w:rPr>
          <w:rFonts w:ascii="黑体" w:hAnsi="黑体" w:eastAsia="黑体"/>
          <w:b/>
          <w:sz w:val="24"/>
        </w:rPr>
        <w:t xml:space="preserve"> </w:t>
      </w:r>
      <w:r>
        <w:rPr>
          <w:rFonts w:hint="eastAsia" w:ascii="黑体" w:hAnsi="黑体" w:eastAsia="黑体"/>
          <w:b/>
          <w:sz w:val="24"/>
        </w:rPr>
        <w:t>其他剧种选介</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通过本章学习，让学生了解和掌握其他剧种的的基本常识与艺术特征。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重点：其他剧种的风格辨析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难点：地方剧种与民歌的关系</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黄梅戏</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越剧</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湖南花鼓戏</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第四节 沪剧</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第七章</w:t>
      </w:r>
      <w:r>
        <w:rPr>
          <w:rFonts w:ascii="黑体" w:hAnsi="黑体" w:eastAsia="黑体"/>
          <w:b/>
          <w:sz w:val="24"/>
        </w:rPr>
        <w:t xml:space="preserve"> </w:t>
      </w:r>
      <w:r>
        <w:rPr>
          <w:rFonts w:hint="eastAsia" w:ascii="黑体" w:hAnsi="黑体" w:eastAsia="黑体"/>
          <w:b/>
          <w:sz w:val="24"/>
        </w:rPr>
        <w:t>鼓词类曲种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通过本章学习，让学生了解和掌握鼓词类曲种的基本常识与艺术特征。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鼓词类曲种</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难点：鼓</w:t>
      </w:r>
      <w:r>
        <w:rPr>
          <w:rFonts w:hint="eastAsia" w:ascii="宋体" w:hAnsi="宋体"/>
          <w:szCs w:val="21"/>
        </w:rPr>
        <w:t>词类曲种</w:t>
      </w:r>
      <w:r>
        <w:rPr>
          <w:rFonts w:hint="eastAsia" w:ascii="宋体" w:hAnsi="宋体" w:cs="宋体"/>
          <w:color w:val="000000"/>
          <w:kern w:val="0"/>
          <w:szCs w:val="21"/>
        </w:rPr>
        <w:t>历史沿革</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鼓词的艺术特征</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第二节 京韵大鼓</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梅花大鼓</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第八章</w:t>
      </w:r>
      <w:r>
        <w:rPr>
          <w:rFonts w:ascii="黑体" w:hAnsi="黑体" w:eastAsia="黑体"/>
          <w:b/>
          <w:sz w:val="24"/>
        </w:rPr>
        <w:t xml:space="preserve"> </w:t>
      </w:r>
      <w:r>
        <w:rPr>
          <w:rFonts w:hint="eastAsia" w:ascii="黑体" w:hAnsi="黑体" w:eastAsia="黑体"/>
          <w:b/>
          <w:sz w:val="24"/>
        </w:rPr>
        <w:t>弹词类曲种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通过本章学习，让学生了解和掌握弹词类曲种的基本常识与艺术特征。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弹词类曲种</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w:t>
      </w:r>
      <w:r>
        <w:rPr>
          <w:rFonts w:hint="eastAsia" w:ascii="宋体" w:hAnsi="宋体"/>
          <w:szCs w:val="21"/>
        </w:rPr>
        <w:t>弹词类曲种</w:t>
      </w:r>
      <w:r>
        <w:rPr>
          <w:rFonts w:hint="eastAsia" w:ascii="宋体" w:hAnsi="宋体" w:cs="宋体"/>
          <w:color w:val="000000"/>
          <w:kern w:val="0"/>
          <w:szCs w:val="21"/>
        </w:rPr>
        <w:t>的历史沿革</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鼓词的艺术特征</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苏州弹词</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第三节 长沙弹词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第九章</w:t>
      </w:r>
      <w:r>
        <w:rPr>
          <w:rFonts w:ascii="黑体" w:hAnsi="黑体" w:eastAsia="黑体"/>
          <w:b/>
          <w:sz w:val="24"/>
        </w:rPr>
        <w:t xml:space="preserve"> </w:t>
      </w:r>
      <w:r>
        <w:rPr>
          <w:rFonts w:hint="eastAsia" w:ascii="黑体" w:hAnsi="黑体" w:eastAsia="黑体"/>
          <w:b/>
          <w:sz w:val="24"/>
        </w:rPr>
        <w:t>牌子曲类曲种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通过本章学习，让学生了解和掌握牌子曲类曲种的基本常识与艺术特征。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牌子曲类曲种</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w:t>
      </w:r>
      <w:r>
        <w:rPr>
          <w:rFonts w:hint="eastAsia" w:ascii="宋体" w:hAnsi="宋体"/>
          <w:szCs w:val="21"/>
        </w:rPr>
        <w:t>牌子曲类曲种</w:t>
      </w:r>
      <w:r>
        <w:rPr>
          <w:rFonts w:hint="eastAsia" w:ascii="宋体" w:hAnsi="宋体" w:cs="宋体"/>
          <w:color w:val="000000"/>
          <w:kern w:val="0"/>
          <w:szCs w:val="21"/>
        </w:rPr>
        <w:t>的历史沿革</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单弦牌子曲</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四川清音</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TimesNewRomanPSMT"/>
          <w:color w:val="000000"/>
          <w:kern w:val="0"/>
          <w:szCs w:val="21"/>
        </w:rPr>
        <w:t>4</w:t>
      </w:r>
      <w:r>
        <w:rPr>
          <w:rFonts w:ascii="宋体" w:hAnsi="宋体" w:cs="TimesNewRomanPSMT"/>
          <w:color w:val="000000"/>
          <w:kern w:val="0"/>
          <w:szCs w:val="21"/>
        </w:rPr>
        <w:t>.</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第十章</w:t>
      </w:r>
      <w:r>
        <w:rPr>
          <w:rFonts w:ascii="黑体" w:hAnsi="黑体" w:eastAsia="黑体"/>
          <w:b/>
          <w:sz w:val="24"/>
        </w:rPr>
        <w:t xml:space="preserve"> </w:t>
      </w:r>
      <w:r>
        <w:rPr>
          <w:rFonts w:hint="eastAsia" w:ascii="黑体" w:hAnsi="黑体" w:eastAsia="黑体"/>
          <w:b/>
          <w:sz w:val="24"/>
        </w:rPr>
        <w:t>琴书类曲种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通过本章学习，让学生了解和掌握琴书类曲种的基本常识与艺术特征。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琴书类曲种</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w:t>
      </w:r>
      <w:r>
        <w:rPr>
          <w:rFonts w:hint="eastAsia" w:ascii="宋体" w:hAnsi="宋体"/>
          <w:szCs w:val="21"/>
        </w:rPr>
        <w:t>琴书类曲种</w:t>
      </w:r>
      <w:r>
        <w:rPr>
          <w:rFonts w:hint="eastAsia" w:ascii="宋体" w:hAnsi="宋体" w:cs="宋体"/>
          <w:color w:val="000000"/>
          <w:kern w:val="0"/>
          <w:szCs w:val="21"/>
        </w:rPr>
        <w:t>的历史沿革</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第一节 山东琴书</w:t>
      </w:r>
    </w:p>
    <w:p>
      <w:pPr>
        <w:widowControl/>
        <w:spacing w:before="156" w:beforeLines="50" w:after="156" w:afterLines="50"/>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北京琴书</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第十一章</w:t>
      </w:r>
      <w:r>
        <w:rPr>
          <w:rFonts w:ascii="黑体" w:hAnsi="黑体" w:eastAsia="黑体"/>
          <w:b/>
          <w:sz w:val="24"/>
        </w:rPr>
        <w:t xml:space="preserve"> </w:t>
      </w:r>
      <w:r>
        <w:rPr>
          <w:rFonts w:hint="eastAsia" w:ascii="黑体" w:hAnsi="黑体" w:eastAsia="黑体"/>
          <w:b/>
          <w:sz w:val="24"/>
        </w:rPr>
        <w:t>道情类曲种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通过本章学习，让学生了解和掌握道情类曲种的基本常识与艺术特征。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道情类曲种</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hint="eastAsia" w:ascii="宋体" w:hAnsi="宋体" w:cs="宋体"/>
          <w:color w:val="000000"/>
          <w:kern w:val="0"/>
          <w:szCs w:val="21"/>
        </w:rPr>
      </w:pPr>
      <w:r>
        <w:rPr>
          <w:rFonts w:hint="eastAsia" w:ascii="宋体" w:hAnsi="宋体" w:cs="宋体"/>
          <w:color w:val="000000"/>
          <w:kern w:val="0"/>
          <w:szCs w:val="21"/>
        </w:rPr>
        <w:t>难点：</w:t>
      </w:r>
      <w:r>
        <w:rPr>
          <w:rFonts w:hint="eastAsia" w:ascii="宋体" w:hAnsi="宋体"/>
          <w:szCs w:val="21"/>
        </w:rPr>
        <w:t>道情类曲种的历史沿革</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第一节 </w:t>
      </w:r>
      <w:r>
        <w:rPr>
          <w:rFonts w:hint="eastAsia" w:ascii="宋体" w:hAnsi="宋体"/>
          <w:szCs w:val="21"/>
        </w:rPr>
        <w:t>道情的艺术特征</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河南坠子</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4.</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ind w:left="2310" w:leftChars="400" w:hanging="1470" w:hangingChars="700"/>
        <w:rPr>
          <w:rFonts w:ascii="宋体" w:hAnsi="宋体" w:cs="仿宋"/>
          <w:color w:val="333333"/>
          <w:szCs w:val="21"/>
          <w:shd w:val="clear" w:color="auto" w:fill="FFFFFF"/>
        </w:rPr>
      </w:pPr>
    </w:p>
    <w:p>
      <w:pPr>
        <w:widowControl/>
        <w:spacing w:before="156" w:beforeLines="50" w:after="156" w:afterLines="50"/>
        <w:ind w:firstLine="480" w:firstLineChars="200"/>
        <w:jc w:val="left"/>
      </w:pPr>
      <w:r>
        <w:rPr>
          <w:rFonts w:hint="eastAsia" w:ascii="黑体" w:hAnsi="黑体" w:eastAsia="黑体"/>
          <w:b/>
          <w:sz w:val="24"/>
        </w:rPr>
        <w:t>第十二章</w:t>
      </w:r>
      <w:r>
        <w:rPr>
          <w:rFonts w:ascii="黑体" w:hAnsi="黑体" w:eastAsia="黑体"/>
          <w:b/>
          <w:sz w:val="24"/>
        </w:rPr>
        <w:t xml:space="preserve"> </w:t>
      </w:r>
      <w:r>
        <w:rPr>
          <w:rFonts w:hint="eastAsia" w:ascii="黑体" w:hAnsi="黑体" w:eastAsia="黑体"/>
          <w:b/>
          <w:sz w:val="24"/>
        </w:rPr>
        <w:t>时调小曲类曲种</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1.</w:t>
      </w:r>
      <w:r>
        <w:rPr>
          <w:rFonts w:hint="eastAsia" w:ascii="宋体" w:hAnsi="宋体" w:cs="宋体"/>
          <w:color w:val="000000"/>
          <w:kern w:val="0"/>
          <w:szCs w:val="21"/>
        </w:rPr>
        <w:t>教学目标</w:t>
      </w:r>
    </w:p>
    <w:p>
      <w:pPr>
        <w:widowControl/>
        <w:spacing w:before="156" w:beforeLines="50" w:after="156" w:afterLines="50"/>
        <w:ind w:left="420" w:left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通过本章学习，让学生了解和掌握时调小曲类曲种的基本常识与艺术特征。</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2.</w:t>
      </w:r>
      <w:r>
        <w:rPr>
          <w:rFonts w:hint="eastAsia" w:ascii="宋体" w:hAnsi="宋体" w:cs="宋体"/>
          <w:color w:val="000000"/>
          <w:kern w:val="0"/>
          <w:szCs w:val="21"/>
        </w:rPr>
        <w:t>教学重难点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重点：</w:t>
      </w:r>
      <w:r>
        <w:rPr>
          <w:rFonts w:hint="eastAsia" w:ascii="宋体" w:hAnsi="宋体"/>
          <w:szCs w:val="21"/>
        </w:rPr>
        <w:t>时调小曲类曲种</w:t>
      </w:r>
      <w:r>
        <w:rPr>
          <w:rFonts w:hint="eastAsia" w:ascii="宋体" w:hAnsi="宋体" w:cs="宋体"/>
          <w:color w:val="000000"/>
          <w:kern w:val="0"/>
          <w:szCs w:val="21"/>
        </w:rPr>
        <w:t>风格辨析</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难点：</w:t>
      </w:r>
      <w:r>
        <w:rPr>
          <w:rFonts w:hint="eastAsia" w:ascii="宋体" w:hAnsi="宋体"/>
          <w:szCs w:val="21"/>
        </w:rPr>
        <w:t>时调小曲类曲种的历史沿革</w:t>
      </w:r>
    </w:p>
    <w:p>
      <w:pPr>
        <w:widowControl/>
        <w:spacing w:before="156" w:beforeLines="50" w:after="156" w:afterLines="50"/>
        <w:ind w:firstLine="420" w:firstLineChars="200"/>
        <w:jc w:val="left"/>
        <w:rPr>
          <w:rFonts w:ascii="宋体" w:hAnsi="宋体" w:cs="宋体"/>
          <w:color w:val="000000"/>
          <w:kern w:val="0"/>
          <w:szCs w:val="21"/>
        </w:rPr>
      </w:pPr>
      <w:r>
        <w:rPr>
          <w:rFonts w:ascii="宋体" w:hAnsi="宋体" w:cs="TimesNewRomanPSMT"/>
          <w:color w:val="000000"/>
          <w:kern w:val="0"/>
          <w:szCs w:val="21"/>
        </w:rPr>
        <w:t>3.</w:t>
      </w:r>
      <w:r>
        <w:rPr>
          <w:rFonts w:hint="eastAsia" w:ascii="宋体" w:hAnsi="宋体" w:cs="宋体"/>
          <w:color w:val="000000"/>
          <w:kern w:val="0"/>
          <w:szCs w:val="21"/>
        </w:rPr>
        <w:t>教学内容</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第一节 </w:t>
      </w:r>
      <w:r>
        <w:rPr>
          <w:rFonts w:hint="eastAsia" w:ascii="宋体" w:hAnsi="宋体"/>
          <w:szCs w:val="21"/>
        </w:rPr>
        <w:t>时调小曲的艺术特征</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第二节 天津时调</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TimesNewRomanPSMT"/>
          <w:color w:val="000000"/>
          <w:kern w:val="0"/>
          <w:szCs w:val="21"/>
        </w:rPr>
        <w:t>4</w:t>
      </w:r>
      <w:r>
        <w:rPr>
          <w:rFonts w:ascii="宋体" w:hAnsi="宋体" w:cs="TimesNewRomanPSMT"/>
          <w:color w:val="000000"/>
          <w:kern w:val="0"/>
          <w:szCs w:val="21"/>
        </w:rPr>
        <w:t>.</w:t>
      </w:r>
      <w:r>
        <w:rPr>
          <w:rFonts w:hint="eastAsia" w:ascii="宋体" w:hAnsi="宋体" w:cs="宋体"/>
          <w:color w:val="000000"/>
          <w:kern w:val="0"/>
          <w:szCs w:val="21"/>
        </w:rPr>
        <w:t>教学方法</w:t>
      </w:r>
    </w:p>
    <w:p>
      <w:pPr>
        <w:widowControl/>
        <w:spacing w:before="156" w:beforeLines="50" w:after="156"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（1）讲授法：讲解相关概念和知识</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（2）讨论法：课堂提问，学生之间讨论，回答问题</w:t>
      </w:r>
    </w:p>
    <w:p>
      <w:pPr>
        <w:widowControl/>
        <w:spacing w:before="156" w:beforeLines="50" w:after="156" w:afterLines="50"/>
        <w:ind w:firstLine="840" w:firstLineChars="400"/>
        <w:jc w:val="left"/>
        <w:rPr>
          <w:rFonts w:ascii="宋体" w:hAnsi="宋体" w:cs="宋体"/>
          <w:color w:val="000000"/>
          <w:kern w:val="0"/>
          <w:szCs w:val="21"/>
        </w:rPr>
      </w:pPr>
      <w:r>
        <w:rPr>
          <w:rFonts w:hint="eastAsia" w:ascii="宋体" w:hAnsi="宋体" w:cs="宋体"/>
          <w:color w:val="000000"/>
          <w:kern w:val="0"/>
          <w:szCs w:val="21"/>
        </w:rPr>
        <w:t>（3）重点欣赏相关音像</w:t>
      </w:r>
    </w:p>
    <w:p>
      <w:pPr>
        <w:widowControl/>
        <w:spacing w:before="156" w:beforeLines="50" w:after="156" w:afterLines="50"/>
        <w:ind w:firstLine="420" w:firstLineChars="200"/>
        <w:jc w:val="left"/>
        <w:rPr>
          <w:rFonts w:ascii="宋体" w:hAnsi="宋体" w:cs="TimesNewRomanPSMT"/>
          <w:color w:val="000000"/>
          <w:kern w:val="0"/>
          <w:szCs w:val="21"/>
        </w:rPr>
      </w:pPr>
      <w:r>
        <w:rPr>
          <w:rFonts w:ascii="宋体" w:hAnsi="宋体" w:cs="TimesNewRomanPSMT"/>
          <w:color w:val="000000"/>
          <w:kern w:val="0"/>
          <w:szCs w:val="21"/>
        </w:rPr>
        <w:t>5.</w:t>
      </w:r>
      <w:r>
        <w:rPr>
          <w:rFonts w:hint="eastAsia" w:ascii="宋体" w:hAnsi="宋体" w:cs="TimesNewRomanPSMT"/>
          <w:color w:val="000000"/>
          <w:kern w:val="0"/>
          <w:szCs w:val="21"/>
        </w:rPr>
        <w:t>教学评价</w:t>
      </w:r>
    </w:p>
    <w:p>
      <w:pPr>
        <w:ind w:left="2310" w:leftChars="400" w:hanging="1470" w:hangingChars="700"/>
        <w:rPr>
          <w:rFonts w:ascii="宋体" w:hAnsi="宋体" w:cs="仿宋"/>
          <w:color w:val="333333"/>
          <w:szCs w:val="21"/>
          <w:shd w:val="clear" w:color="auto" w:fill="FFFFFF"/>
        </w:rPr>
      </w:pPr>
      <w:r>
        <w:rPr>
          <w:rFonts w:hint="eastAsia" w:ascii="宋体" w:hAnsi="宋体" w:cs="仿宋"/>
          <w:color w:val="333333"/>
          <w:szCs w:val="21"/>
          <w:shd w:val="clear" w:color="auto" w:fill="FFFFFF"/>
        </w:rPr>
        <w:t>小组互动交流，教师提问。</w:t>
      </w: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996"/>
        <w:gridCol w:w="3827"/>
        <w:gridCol w:w="1140"/>
      </w:tblGrid>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章节内容</w:t>
            </w:r>
          </w:p>
        </w:tc>
        <w:tc>
          <w:tcPr>
            <w:tcW w:w="3827"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支撑课程目标</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学时分配</w:t>
            </w:r>
          </w:p>
        </w:tc>
      </w:tr>
      <w:tr>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 戏曲和曲艺概论</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梳理戏曲发展史、相关基本概念</w:t>
            </w:r>
          </w:p>
          <w:p>
            <w:pPr>
              <w:widowControl/>
              <w:spacing w:before="156" w:beforeLines="50" w:after="156" w:afterLines="50"/>
              <w:jc w:val="center"/>
              <w:rPr>
                <w:rFonts w:ascii="宋体" w:hAnsi="宋体"/>
                <w:szCs w:val="21"/>
              </w:rPr>
            </w:pPr>
            <w:r>
              <w:rPr>
                <w:rFonts w:hint="eastAsia" w:ascii="宋体" w:hAnsi="宋体" w:cs="宋体"/>
                <w:color w:val="000000"/>
                <w:kern w:val="0"/>
                <w:szCs w:val="21"/>
              </w:rPr>
              <w:t>第二节 梳理曲艺发展史、曲种</w:t>
            </w:r>
          </w:p>
          <w:p>
            <w:pPr>
              <w:widowControl/>
              <w:spacing w:before="156" w:beforeLines="50" w:after="156" w:afterLines="50"/>
              <w:jc w:val="center"/>
              <w:rPr>
                <w:rFonts w:ascii="宋体" w:hAnsi="宋体" w:cstheme="minorBidi"/>
              </w:rPr>
            </w:pP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戏曲和曲艺</w:t>
            </w:r>
          </w:p>
        </w:tc>
        <w:tc>
          <w:tcPr>
            <w:tcW w:w="3827" w:type="dxa"/>
            <w:vMerge w:val="restart"/>
            <w:vAlign w:val="center"/>
          </w:tcPr>
          <w:p>
            <w:pPr>
              <w:widowControl/>
              <w:spacing w:before="156" w:beforeLines="50" w:after="156" w:afterLines="50"/>
              <w:jc w:val="center"/>
              <w:rPr>
                <w:rFonts w:ascii="宋体" w:hAnsi="宋体" w:cstheme="minorBidi"/>
                <w:bCs/>
              </w:rPr>
            </w:pPr>
            <w:r>
              <w:rPr>
                <w:rFonts w:hint="eastAsia" w:ascii="宋体" w:hAnsi="宋体" w:cstheme="minorBidi"/>
                <w:bCs/>
              </w:rPr>
              <w:t>3</w:t>
            </w:r>
            <w:r>
              <w:rPr>
                <w:rFonts w:ascii="宋体" w:hAnsi="宋体" w:cstheme="minorBidi"/>
                <w:bCs/>
              </w:rPr>
              <w:t>-1</w:t>
            </w:r>
            <w:r>
              <w:rPr>
                <w:rFonts w:hint="eastAsia" w:ascii="宋体" w:hAnsi="宋体" w:cstheme="minorBidi"/>
                <w:bCs/>
              </w:rPr>
              <w:t>【学科知识】</w:t>
            </w:r>
            <w:r>
              <w:rPr>
                <w:rFonts w:ascii="宋体" w:hAnsi="宋体" w:cstheme="minorBidi"/>
                <w:bCs/>
              </w:rPr>
              <w:t>掌握音乐学科核心素养，了解音乐学科发展的历史、现状和趋势，掌握音乐学科的基本知识、基本原理和基本技能，掌握音乐学科知识体系和思想方法。</w:t>
            </w:r>
          </w:p>
          <w:p>
            <w:pPr>
              <w:widowControl/>
              <w:spacing w:before="156" w:beforeLines="50" w:after="156" w:afterLines="50"/>
              <w:jc w:val="center"/>
              <w:rPr>
                <w:rFonts w:ascii="宋体" w:hAnsi="宋体" w:cstheme="minorBidi"/>
                <w:bCs/>
              </w:rPr>
            </w:pPr>
            <w:r>
              <w:rPr>
                <w:rFonts w:ascii="宋体" w:hAnsi="宋体" w:cstheme="minorBidi"/>
                <w:bCs/>
              </w:rPr>
              <w:t>3-2</w:t>
            </w:r>
            <w:r>
              <w:rPr>
                <w:rFonts w:hint="eastAsia" w:ascii="宋体" w:hAnsi="宋体" w:cstheme="minorBidi"/>
                <w:bCs/>
              </w:rPr>
              <w:t>【知识整合】</w:t>
            </w:r>
            <w:r>
              <w:rPr>
                <w:rFonts w:ascii="宋体" w:hAnsi="宋体" w:cstheme="minorBidi"/>
                <w:bCs/>
              </w:rPr>
              <w:t>了解音乐学科与其他学科以及社会实践、学生生活实践、传统文化的内在联系，具备知识整合能力。</w:t>
            </w:r>
          </w:p>
          <w:p>
            <w:pPr>
              <w:widowControl/>
              <w:spacing w:before="156" w:beforeLines="50" w:after="156" w:afterLines="50"/>
              <w:jc w:val="center"/>
              <w:rPr>
                <w:rFonts w:ascii="宋体" w:hAnsi="宋体" w:cstheme="minorBidi"/>
                <w:bCs/>
              </w:rPr>
            </w:pPr>
            <w:r>
              <w:rPr>
                <w:rFonts w:hint="eastAsia" w:ascii="宋体" w:hAnsi="宋体" w:cstheme="minorBidi"/>
                <w:bCs/>
              </w:rPr>
              <w:t>6</w:t>
            </w:r>
            <w:r>
              <w:rPr>
                <w:rFonts w:ascii="宋体" w:hAnsi="宋体" w:cstheme="minorBidi"/>
                <w:bCs/>
              </w:rPr>
              <w:t>-2</w:t>
            </w:r>
            <w:r>
              <w:rPr>
                <w:rFonts w:hint="eastAsia" w:ascii="宋体" w:hAnsi="宋体" w:cstheme="minorBidi"/>
                <w:bCs/>
              </w:rPr>
              <w:t>【育人实践】</w:t>
            </w:r>
            <w:r>
              <w:rPr>
                <w:rFonts w:ascii="宋体" w:hAnsi="宋体" w:cstheme="minorBidi"/>
                <w:bCs/>
              </w:rPr>
              <w:t>领会音乐学科独特的育人价值，深入挖掘课程思想政治教育资源，注重课程教学的思想性，能够有机结合音乐学科教学进行育人活动，将知识学习、能力发展与品德养成相结合，合理设计育人目标、主题和内容。</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 昆腔系统</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水磨调的由来</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昆腔音乐特征</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昆曲支脉</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昆腔与昆剧</w:t>
            </w:r>
          </w:p>
        </w:tc>
        <w:tc>
          <w:tcPr>
            <w:tcW w:w="3827" w:type="dxa"/>
            <w:vMerge w:val="continue"/>
            <w:vAlign w:val="center"/>
          </w:tcPr>
          <w:p>
            <w:pPr>
              <w:widowControl/>
              <w:spacing w:before="156" w:beforeLines="50" w:after="156" w:afterLines="50"/>
              <w:jc w:val="center"/>
              <w:rPr>
                <w:rFonts w:ascii="宋体" w:hAnsi="宋体" w:cstheme="minorBidi"/>
                <w:bCs/>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第三章 高腔系统</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高腔的音乐特征</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川剧</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赣剧</w:t>
            </w:r>
          </w:p>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第四节 湘剧</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川剧</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赣剧</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湘剧</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第四章 梆子腔系统</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梆子腔的音乐特征</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秦腔</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豫剧</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第四节 晋剧</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第五节 河北梆子</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秦腔</w:t>
            </w:r>
          </w:p>
          <w:p>
            <w:pPr>
              <w:widowControl/>
              <w:spacing w:before="156" w:beforeLines="50" w:after="156" w:afterLines="50"/>
              <w:jc w:val="center"/>
              <w:rPr>
                <w:rFonts w:ascii="宋体" w:hAnsi="宋体" w:cstheme="minorBidi"/>
              </w:rPr>
            </w:pPr>
            <w:r>
              <w:rPr>
                <w:rFonts w:hint="eastAsia" w:ascii="宋体" w:hAnsi="宋体" w:cstheme="minorBidi"/>
              </w:rPr>
              <w:t>豫剧</w:t>
            </w:r>
          </w:p>
          <w:p>
            <w:pPr>
              <w:widowControl/>
              <w:spacing w:before="156" w:beforeLines="50" w:after="156" w:afterLines="50"/>
              <w:jc w:val="center"/>
              <w:rPr>
                <w:rFonts w:ascii="宋体" w:hAnsi="宋体" w:cstheme="minorBidi"/>
              </w:rPr>
            </w:pPr>
            <w:r>
              <w:rPr>
                <w:rFonts w:hint="eastAsia" w:ascii="宋体" w:hAnsi="宋体" w:cstheme="minorBidi"/>
              </w:rPr>
              <w:t>晋剧</w:t>
            </w:r>
          </w:p>
          <w:p>
            <w:pPr>
              <w:widowControl/>
              <w:spacing w:before="156" w:beforeLines="50" w:after="156" w:afterLines="50"/>
              <w:jc w:val="center"/>
              <w:rPr>
                <w:rFonts w:hint="eastAsia" w:ascii="宋体" w:hAnsi="宋体" w:cstheme="minorBidi"/>
              </w:rPr>
            </w:pPr>
            <w:r>
              <w:rPr>
                <w:rFonts w:hint="eastAsia" w:ascii="宋体" w:hAnsi="宋体" w:cstheme="minorBidi"/>
              </w:rPr>
              <w:t>河北梆子</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第五章 皮黄腔系统</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皮黄腔的音乐特征</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京剧</w:t>
            </w:r>
          </w:p>
          <w:p>
            <w:pPr>
              <w:widowControl/>
              <w:spacing w:before="156" w:beforeLines="50" w:after="156" w:afterLines="50"/>
              <w:jc w:val="center"/>
              <w:rPr>
                <w:rFonts w:ascii="宋体" w:hAnsi="宋体" w:cstheme="minorBidi"/>
              </w:rPr>
            </w:pPr>
            <w:r>
              <w:rPr>
                <w:rFonts w:hint="eastAsia" w:ascii="宋体" w:hAnsi="宋体" w:cstheme="minorBidi"/>
              </w:rPr>
              <w:t>第三节 粤剧</w:t>
            </w:r>
          </w:p>
          <w:p>
            <w:pPr>
              <w:widowControl/>
              <w:spacing w:before="156" w:beforeLines="50" w:after="156" w:afterLines="50"/>
              <w:jc w:val="center"/>
              <w:rPr>
                <w:rFonts w:hint="eastAsia" w:ascii="宋体" w:hAnsi="宋体" w:cstheme="minorBidi"/>
              </w:rPr>
            </w:pPr>
            <w:r>
              <w:rPr>
                <w:rFonts w:hint="eastAsia" w:ascii="宋体" w:hAnsi="宋体" w:cstheme="minorBidi"/>
              </w:rPr>
              <w:t>第四节 汉剧</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京剧</w:t>
            </w:r>
          </w:p>
          <w:p>
            <w:pPr>
              <w:widowControl/>
              <w:spacing w:before="156" w:beforeLines="50" w:after="156" w:afterLines="50"/>
              <w:jc w:val="center"/>
              <w:rPr>
                <w:rFonts w:ascii="宋体" w:hAnsi="宋体" w:cstheme="minorBidi"/>
              </w:rPr>
            </w:pPr>
            <w:r>
              <w:rPr>
                <w:rFonts w:hint="eastAsia" w:ascii="宋体" w:hAnsi="宋体" w:cstheme="minorBidi"/>
              </w:rPr>
              <w:t>粤剧</w:t>
            </w:r>
          </w:p>
          <w:p>
            <w:pPr>
              <w:widowControl/>
              <w:spacing w:before="156" w:beforeLines="50" w:after="156" w:afterLines="50"/>
              <w:jc w:val="center"/>
              <w:rPr>
                <w:rFonts w:ascii="宋体" w:hAnsi="宋体" w:cstheme="minorBidi"/>
              </w:rPr>
            </w:pPr>
            <w:r>
              <w:rPr>
                <w:rFonts w:hint="eastAsia" w:ascii="宋体" w:hAnsi="宋体" w:cstheme="minorBidi"/>
              </w:rPr>
              <w:t>汉剧</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第六章 其他剧种选介</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黄梅戏</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越剧</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第三节 湖南花鼓戏</w:t>
            </w:r>
          </w:p>
          <w:p>
            <w:pPr>
              <w:widowControl/>
              <w:spacing w:before="156" w:beforeLines="50" w:after="156" w:afterLines="50"/>
              <w:jc w:val="center"/>
              <w:rPr>
                <w:rFonts w:hint="eastAsia" w:ascii="宋体" w:hAnsi="宋体" w:cstheme="minorBidi"/>
              </w:rPr>
            </w:pPr>
            <w:r>
              <w:rPr>
                <w:rFonts w:hint="eastAsia" w:ascii="宋体" w:hAnsi="宋体" w:cs="宋体"/>
                <w:color w:val="000000"/>
                <w:szCs w:val="21"/>
              </w:rPr>
              <w:t>第四节 沪剧</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黄梅戏</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越剧</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湖南花鼓戏</w:t>
            </w:r>
          </w:p>
          <w:p>
            <w:pPr>
              <w:widowControl/>
              <w:spacing w:before="156" w:beforeLines="50" w:after="156" w:afterLines="50"/>
              <w:jc w:val="center"/>
              <w:rPr>
                <w:rFonts w:ascii="宋体" w:hAnsi="宋体" w:cstheme="minorBidi"/>
              </w:rPr>
            </w:pPr>
            <w:r>
              <w:rPr>
                <w:rFonts w:hint="eastAsia" w:ascii="宋体" w:hAnsi="宋体" w:cs="宋体"/>
                <w:color w:val="000000"/>
                <w:szCs w:val="21"/>
              </w:rPr>
              <w:t>沪剧</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第七章 鼓词类曲种</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京韵大鼓</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第二节 梅花大鼓</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京韵大鼓</w:t>
            </w:r>
          </w:p>
          <w:p>
            <w:pPr>
              <w:widowControl/>
              <w:spacing w:before="156" w:beforeLines="50" w:after="156" w:afterLines="50"/>
              <w:jc w:val="center"/>
              <w:rPr>
                <w:rFonts w:hint="eastAsia" w:ascii="宋体" w:hAnsi="宋体" w:cstheme="minorBidi"/>
              </w:rPr>
            </w:pPr>
            <w:r>
              <w:rPr>
                <w:rFonts w:hint="eastAsia" w:ascii="宋体" w:hAnsi="宋体" w:cstheme="minorBidi"/>
              </w:rPr>
              <w:t>梅花大鼓</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第八章 弹词类曲种</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苏州弹词</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第二节 长沙弹词</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苏州弹词</w:t>
            </w:r>
          </w:p>
          <w:p>
            <w:pPr>
              <w:widowControl/>
              <w:spacing w:before="156" w:beforeLines="50" w:after="156" w:afterLines="50"/>
              <w:jc w:val="center"/>
              <w:rPr>
                <w:rFonts w:hint="eastAsia" w:ascii="宋体" w:hAnsi="宋体" w:cstheme="minorBidi"/>
              </w:rPr>
            </w:pPr>
            <w:r>
              <w:rPr>
                <w:rFonts w:hint="eastAsia" w:ascii="宋体" w:hAnsi="宋体" w:cstheme="minorBidi"/>
              </w:rPr>
              <w:t>长沙弹词</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第九章 牌子曲类曲种</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单弦牌子曲</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第二节 四川清音</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单弦牌子曲</w:t>
            </w:r>
          </w:p>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四川清音</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第十章 琴书类曲种</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第一节 山东琴书</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第二节 北京琴书</w:t>
            </w:r>
          </w:p>
        </w:tc>
        <w:tc>
          <w:tcPr>
            <w:tcW w:w="1996"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山东琴书</w:t>
            </w:r>
          </w:p>
          <w:p>
            <w:pPr>
              <w:widowControl/>
              <w:spacing w:before="156" w:beforeLines="50" w:after="156" w:afterLines="50"/>
              <w:jc w:val="center"/>
              <w:rPr>
                <w:rFonts w:hint="eastAsia" w:ascii="宋体" w:hAnsi="宋体" w:cstheme="minorBidi"/>
              </w:rPr>
            </w:pPr>
            <w:r>
              <w:rPr>
                <w:rFonts w:hint="eastAsia" w:ascii="宋体" w:hAnsi="宋体" w:cs="宋体"/>
                <w:color w:val="000000"/>
                <w:kern w:val="0"/>
                <w:szCs w:val="21"/>
              </w:rPr>
              <w:t>北京琴书</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第十一章 道情类曲种</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道情类曲种的艺术特征</w:t>
            </w:r>
          </w:p>
          <w:p>
            <w:pPr>
              <w:widowControl/>
              <w:spacing w:before="156" w:beforeLines="50" w:after="156" w:afterLines="50"/>
              <w:jc w:val="center"/>
              <w:rPr>
                <w:rFonts w:hint="eastAsia" w:ascii="宋体" w:hAnsi="宋体" w:cs="宋体"/>
                <w:color w:val="000000"/>
                <w:kern w:val="0"/>
                <w:szCs w:val="21"/>
              </w:rPr>
            </w:pPr>
            <w:r>
              <w:rPr>
                <w:rFonts w:hint="eastAsia" w:ascii="宋体" w:hAnsi="宋体" w:cs="宋体"/>
                <w:color w:val="000000"/>
                <w:kern w:val="0"/>
                <w:szCs w:val="21"/>
              </w:rPr>
              <w:t>第二节 河南坠子</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theme="minorBidi"/>
              </w:rPr>
              <w:t>河南坠子</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第十二章 时调小曲类曲种</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第一节 时调小曲类曲种的艺术特征</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第二节 天津时调</w:t>
            </w:r>
          </w:p>
        </w:tc>
        <w:tc>
          <w:tcPr>
            <w:tcW w:w="1996" w:type="dxa"/>
            <w:vAlign w:val="center"/>
          </w:tcPr>
          <w:p>
            <w:pPr>
              <w:widowControl/>
              <w:spacing w:before="156" w:beforeLines="50" w:after="156" w:afterLines="50"/>
              <w:jc w:val="center"/>
              <w:rPr>
                <w:rFonts w:ascii="宋体" w:hAnsi="宋体" w:cstheme="minorBidi"/>
              </w:rPr>
            </w:pPr>
            <w:r>
              <w:rPr>
                <w:rFonts w:hint="eastAsia" w:ascii="宋体" w:hAnsi="宋体" w:cs="宋体"/>
                <w:color w:val="000000"/>
                <w:kern w:val="0"/>
                <w:szCs w:val="21"/>
              </w:rPr>
              <w:t>天津时调</w:t>
            </w:r>
          </w:p>
        </w:tc>
        <w:tc>
          <w:tcPr>
            <w:tcW w:w="3827" w:type="dxa"/>
            <w:vMerge w:val="continue"/>
            <w:vAlign w:val="center"/>
          </w:tcPr>
          <w:p>
            <w:pPr>
              <w:widowControl/>
              <w:spacing w:before="156" w:beforeLines="50" w:after="156" w:afterLines="50"/>
              <w:jc w:val="center"/>
              <w:rPr>
                <w:rFonts w:ascii="宋体" w:hAnsi="宋体" w:cstheme="minorBidi"/>
              </w:rPr>
            </w:pPr>
          </w:p>
        </w:tc>
        <w:tc>
          <w:tcPr>
            <w:tcW w:w="1140" w:type="dxa"/>
            <w:vAlign w:val="center"/>
          </w:tcPr>
          <w:p>
            <w:pPr>
              <w:widowControl/>
              <w:spacing w:before="156" w:beforeLines="50" w:after="156" w:afterLines="50"/>
              <w:jc w:val="center"/>
              <w:rPr>
                <w:rFonts w:ascii="宋体" w:hAnsi="宋体" w:cstheme="minorBidi"/>
              </w:rPr>
            </w:pPr>
            <w:r>
              <w:rPr>
                <w:rFonts w:ascii="宋体" w:hAnsi="宋体" w:cstheme="minorBidi"/>
              </w:rPr>
              <w:t>4</w:t>
            </w:r>
          </w:p>
        </w:tc>
      </w:tr>
    </w:tbl>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522"/>
        <w:gridCol w:w="2700"/>
        <w:gridCol w:w="1139"/>
        <w:gridCol w:w="1137"/>
        <w:gridCol w:w="1375"/>
        <w:gridCol w:w="898"/>
      </w:tblGrid>
      <w:tr>
        <w:trPr>
          <w:trHeight w:val="340" w:hRule="atLeast"/>
          <w:jc w:val="center"/>
        </w:trPr>
        <w:tc>
          <w:tcPr>
            <w:tcW w:w="742"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523"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270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1140"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1138"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137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899"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第一章 戏曲与曲艺概论</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戏曲和曲艺的基本常识</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总结梳理</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r>
              <w:rPr>
                <w:rFonts w:ascii="宋体" w:hAnsi="宋体" w:cstheme="minorBidi"/>
                <w:szCs w:val="21"/>
              </w:rPr>
              <w:t>-3</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第二章 昆腔系统</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宋体"/>
                <w:color w:val="000000"/>
                <w:kern w:val="0"/>
                <w:szCs w:val="21"/>
              </w:rPr>
              <w:t>昆腔与昆剧</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r>
              <w:rPr>
                <w:rFonts w:ascii="宋体" w:hAnsi="宋体" w:cstheme="minorBidi"/>
                <w:szCs w:val="21"/>
              </w:rPr>
              <w:t>-6</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第三章 高腔系统</w:t>
            </w:r>
          </w:p>
        </w:tc>
        <w:tc>
          <w:tcPr>
            <w:tcW w:w="1140"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川剧</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赣剧</w:t>
            </w:r>
          </w:p>
          <w:p>
            <w:pPr>
              <w:widowControl/>
              <w:spacing w:before="156" w:beforeLines="50" w:after="156" w:afterLines="50"/>
              <w:jc w:val="center"/>
              <w:rPr>
                <w:rFonts w:ascii="宋体" w:hAnsi="宋体" w:cstheme="minorBidi"/>
                <w:szCs w:val="21"/>
              </w:rPr>
            </w:pPr>
            <w:r>
              <w:rPr>
                <w:rFonts w:hint="eastAsia" w:ascii="宋体" w:hAnsi="宋体" w:cs="宋体"/>
                <w:color w:val="000000"/>
                <w:kern w:val="0"/>
                <w:szCs w:val="21"/>
              </w:rPr>
              <w:t>湘剧</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6</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7</w:t>
            </w:r>
            <w:r>
              <w:rPr>
                <w:rFonts w:ascii="宋体" w:hAnsi="宋体" w:cstheme="minorBidi"/>
                <w:szCs w:val="21"/>
              </w:rPr>
              <w:t>-9</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第四章 梆子腔系统</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秦腔</w:t>
            </w:r>
          </w:p>
          <w:p>
            <w:pPr>
              <w:widowControl/>
              <w:spacing w:before="156" w:beforeLines="50" w:after="156" w:afterLines="50"/>
              <w:jc w:val="center"/>
              <w:rPr>
                <w:rFonts w:ascii="宋体" w:hAnsi="宋体" w:cstheme="minorBidi"/>
              </w:rPr>
            </w:pPr>
            <w:r>
              <w:rPr>
                <w:rFonts w:hint="eastAsia" w:ascii="宋体" w:hAnsi="宋体" w:cstheme="minorBidi"/>
              </w:rPr>
              <w:t>豫剧</w:t>
            </w:r>
          </w:p>
          <w:p>
            <w:pPr>
              <w:widowControl/>
              <w:spacing w:before="156" w:beforeLines="50" w:after="156" w:afterLines="50"/>
              <w:jc w:val="center"/>
              <w:rPr>
                <w:rFonts w:ascii="宋体" w:hAnsi="宋体" w:cstheme="minorBidi"/>
              </w:rPr>
            </w:pPr>
            <w:r>
              <w:rPr>
                <w:rFonts w:hint="eastAsia" w:ascii="宋体" w:hAnsi="宋体" w:cstheme="minorBidi"/>
              </w:rPr>
              <w:t>晋剧</w:t>
            </w:r>
          </w:p>
          <w:p>
            <w:pPr>
              <w:widowControl/>
              <w:spacing w:before="156" w:beforeLines="50" w:after="156" w:afterLines="50"/>
              <w:jc w:val="center"/>
              <w:rPr>
                <w:rFonts w:ascii="宋体" w:hAnsi="宋体" w:cstheme="minorBidi"/>
                <w:szCs w:val="21"/>
              </w:rPr>
            </w:pPr>
            <w:r>
              <w:rPr>
                <w:rFonts w:hint="eastAsia" w:ascii="宋体" w:hAnsi="宋体" w:cstheme="minorBidi"/>
              </w:rPr>
              <w:t>河北梆子</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10-11</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第五章 皮黄腔系统</w:t>
            </w:r>
          </w:p>
        </w:tc>
        <w:tc>
          <w:tcPr>
            <w:tcW w:w="1140"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京剧</w:t>
            </w:r>
          </w:p>
          <w:p>
            <w:pPr>
              <w:widowControl/>
              <w:spacing w:before="156" w:beforeLines="50" w:after="156" w:afterLines="50"/>
              <w:jc w:val="center"/>
              <w:rPr>
                <w:rFonts w:ascii="宋体" w:hAnsi="宋体" w:cstheme="minorBidi"/>
              </w:rPr>
            </w:pPr>
            <w:r>
              <w:rPr>
                <w:rFonts w:hint="eastAsia" w:ascii="宋体" w:hAnsi="宋体" w:cstheme="minorBidi"/>
              </w:rPr>
              <w:t>粤剧</w:t>
            </w:r>
          </w:p>
          <w:p>
            <w:pPr>
              <w:widowControl/>
              <w:spacing w:before="156" w:beforeLines="50" w:after="156" w:afterLines="50"/>
              <w:jc w:val="center"/>
              <w:rPr>
                <w:rFonts w:ascii="宋体" w:hAnsi="宋体" w:cstheme="minorBidi"/>
                <w:szCs w:val="21"/>
              </w:rPr>
            </w:pPr>
            <w:r>
              <w:rPr>
                <w:rFonts w:hint="eastAsia" w:ascii="宋体" w:hAnsi="宋体" w:cstheme="minorBidi"/>
              </w:rPr>
              <w:t>汉剧</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2</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第六章 其他剧种选介</w:t>
            </w:r>
          </w:p>
        </w:tc>
        <w:tc>
          <w:tcPr>
            <w:tcW w:w="1140"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黄梅戏</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越剧</w:t>
            </w:r>
          </w:p>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湖南花鼓戏</w:t>
            </w:r>
          </w:p>
          <w:p>
            <w:pPr>
              <w:widowControl/>
              <w:spacing w:before="156" w:beforeLines="50" w:after="156" w:afterLines="50"/>
              <w:jc w:val="center"/>
              <w:rPr>
                <w:rFonts w:ascii="宋体" w:hAnsi="宋体" w:cstheme="minorBidi"/>
                <w:szCs w:val="21"/>
              </w:rPr>
            </w:pPr>
            <w:r>
              <w:rPr>
                <w:rFonts w:hint="eastAsia" w:ascii="宋体" w:hAnsi="宋体" w:cs="宋体"/>
                <w:color w:val="000000"/>
                <w:szCs w:val="21"/>
              </w:rPr>
              <w:t>沪剧</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3</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第七章 鼓词类曲种</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京韵大鼓</w:t>
            </w:r>
          </w:p>
          <w:p>
            <w:pPr>
              <w:widowControl/>
              <w:spacing w:before="156" w:beforeLines="50" w:after="156" w:afterLines="50"/>
              <w:jc w:val="center"/>
              <w:rPr>
                <w:rFonts w:ascii="宋体" w:hAnsi="宋体" w:cstheme="minorBidi"/>
                <w:szCs w:val="21"/>
              </w:rPr>
            </w:pPr>
            <w:r>
              <w:rPr>
                <w:rFonts w:hint="eastAsia" w:ascii="宋体" w:hAnsi="宋体" w:cstheme="minorBidi"/>
              </w:rPr>
              <w:t>梅花大鼓</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4</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第八章  弹词类曲种</w:t>
            </w:r>
          </w:p>
        </w:tc>
        <w:tc>
          <w:tcPr>
            <w:tcW w:w="1140" w:type="dxa"/>
            <w:vAlign w:val="center"/>
          </w:tcPr>
          <w:p>
            <w:pPr>
              <w:widowControl/>
              <w:spacing w:before="156" w:beforeLines="50" w:after="156" w:afterLines="50"/>
              <w:jc w:val="center"/>
              <w:rPr>
                <w:rFonts w:ascii="宋体" w:hAnsi="宋体" w:cstheme="minorBidi"/>
              </w:rPr>
            </w:pPr>
            <w:r>
              <w:rPr>
                <w:rFonts w:hint="eastAsia" w:ascii="宋体" w:hAnsi="宋体" w:cstheme="minorBidi"/>
              </w:rPr>
              <w:t>苏州弹词</w:t>
            </w:r>
          </w:p>
          <w:p>
            <w:pPr>
              <w:widowControl/>
              <w:spacing w:before="156" w:beforeLines="50" w:after="156" w:afterLines="50"/>
              <w:jc w:val="center"/>
              <w:rPr>
                <w:rFonts w:ascii="宋体" w:hAnsi="宋体" w:cstheme="minorBidi"/>
                <w:szCs w:val="21"/>
              </w:rPr>
            </w:pPr>
            <w:r>
              <w:rPr>
                <w:rFonts w:hint="eastAsia" w:ascii="宋体" w:hAnsi="宋体" w:cstheme="minorBidi"/>
              </w:rPr>
              <w:t>长沙弹词</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5</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第九章 牌子曲类曲种</w:t>
            </w:r>
          </w:p>
        </w:tc>
        <w:tc>
          <w:tcPr>
            <w:tcW w:w="1140"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单弦牌子曲</w:t>
            </w:r>
          </w:p>
          <w:p>
            <w:pPr>
              <w:widowControl/>
              <w:spacing w:before="156" w:beforeLines="50" w:after="156" w:afterLines="50"/>
              <w:jc w:val="center"/>
              <w:rPr>
                <w:rFonts w:ascii="宋体" w:hAnsi="宋体" w:cstheme="minorBidi"/>
                <w:szCs w:val="21"/>
              </w:rPr>
            </w:pPr>
            <w:r>
              <w:rPr>
                <w:rFonts w:hint="eastAsia" w:ascii="宋体" w:hAnsi="宋体" w:cs="宋体"/>
                <w:color w:val="000000"/>
                <w:kern w:val="0"/>
                <w:szCs w:val="21"/>
              </w:rPr>
              <w:t>四川清音</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1</w:t>
            </w:r>
            <w:r>
              <w:rPr>
                <w:rFonts w:ascii="宋体" w:hAnsi="宋体" w:cstheme="minorBidi"/>
                <w:szCs w:val="21"/>
              </w:rPr>
              <w:t>6</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第十章 琴书类曲种</w:t>
            </w:r>
          </w:p>
        </w:tc>
        <w:tc>
          <w:tcPr>
            <w:tcW w:w="1140" w:type="dxa"/>
            <w:vAlign w:val="center"/>
          </w:tcPr>
          <w:p>
            <w:pPr>
              <w:widowControl/>
              <w:spacing w:before="156" w:beforeLines="50" w:after="156" w:afterLines="50"/>
              <w:jc w:val="center"/>
              <w:rPr>
                <w:rFonts w:ascii="宋体" w:hAnsi="宋体" w:cs="宋体"/>
                <w:color w:val="000000"/>
                <w:kern w:val="0"/>
                <w:szCs w:val="21"/>
              </w:rPr>
            </w:pPr>
            <w:r>
              <w:rPr>
                <w:rFonts w:hint="eastAsia" w:ascii="宋体" w:hAnsi="宋体" w:cs="宋体"/>
                <w:color w:val="000000"/>
                <w:kern w:val="0"/>
                <w:szCs w:val="21"/>
              </w:rPr>
              <w:t>山东琴书</w:t>
            </w:r>
          </w:p>
          <w:p>
            <w:pPr>
              <w:widowControl/>
              <w:spacing w:before="156" w:beforeLines="50" w:after="156" w:afterLines="50"/>
              <w:jc w:val="center"/>
              <w:rPr>
                <w:rFonts w:ascii="宋体" w:hAnsi="宋体" w:cstheme="minorBidi"/>
                <w:szCs w:val="21"/>
              </w:rPr>
            </w:pPr>
            <w:r>
              <w:rPr>
                <w:rFonts w:hint="eastAsia" w:ascii="宋体" w:hAnsi="宋体" w:cs="宋体"/>
                <w:color w:val="000000"/>
                <w:kern w:val="0"/>
                <w:szCs w:val="21"/>
              </w:rPr>
              <w:t>北京琴书</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Merge w:val="restart"/>
            <w:vAlign w:val="center"/>
          </w:tcPr>
          <w:p>
            <w:pPr>
              <w:widowControl/>
              <w:spacing w:before="156" w:beforeLines="50" w:after="156" w:afterLines="50"/>
              <w:jc w:val="center"/>
              <w:rPr>
                <w:rFonts w:ascii="宋体" w:hAnsi="宋体" w:cstheme="minorBidi"/>
                <w:szCs w:val="21"/>
              </w:rPr>
            </w:pPr>
            <w:r>
              <w:rPr>
                <w:rFonts w:ascii="宋体" w:hAnsi="宋体" w:cstheme="minorBidi"/>
                <w:szCs w:val="21"/>
              </w:rPr>
              <w:t>17</w:t>
            </w: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第十一章 道情类曲种</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rPr>
              <w:t>河南坠子</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2</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r>
        <w:trPr>
          <w:trHeight w:val="340" w:hRule="atLeast"/>
          <w:jc w:val="center"/>
        </w:trPr>
        <w:tc>
          <w:tcPr>
            <w:tcW w:w="742" w:type="dxa"/>
            <w:vMerge w:val="continue"/>
            <w:vAlign w:val="center"/>
          </w:tcPr>
          <w:p>
            <w:pPr>
              <w:widowControl/>
              <w:spacing w:before="156" w:beforeLines="50" w:after="156" w:afterLines="50"/>
              <w:jc w:val="center"/>
              <w:rPr>
                <w:rFonts w:hint="eastAsia" w:ascii="宋体" w:hAnsi="宋体" w:cstheme="minorBidi"/>
                <w:szCs w:val="21"/>
              </w:rPr>
            </w:pPr>
          </w:p>
        </w:tc>
        <w:tc>
          <w:tcPr>
            <w:tcW w:w="523" w:type="dxa"/>
            <w:vAlign w:val="center"/>
          </w:tcPr>
          <w:p>
            <w:pPr>
              <w:widowControl/>
              <w:spacing w:before="156" w:beforeLines="50" w:after="156" w:afterLines="50"/>
              <w:jc w:val="center"/>
              <w:rPr>
                <w:rFonts w:ascii="宋体" w:hAnsi="宋体" w:cstheme="minorBidi"/>
                <w:szCs w:val="21"/>
              </w:rPr>
            </w:pPr>
          </w:p>
        </w:tc>
        <w:tc>
          <w:tcPr>
            <w:tcW w:w="2704"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第十二章 时调小调类曲种</w:t>
            </w:r>
          </w:p>
        </w:tc>
        <w:tc>
          <w:tcPr>
            <w:tcW w:w="1140" w:type="dxa"/>
            <w:vAlign w:val="center"/>
          </w:tcPr>
          <w:p>
            <w:pPr>
              <w:widowControl/>
              <w:spacing w:before="156" w:beforeLines="50" w:after="156" w:afterLines="50"/>
              <w:jc w:val="center"/>
              <w:rPr>
                <w:rFonts w:ascii="宋体" w:hAnsi="宋体" w:cstheme="minorBidi"/>
                <w:szCs w:val="21"/>
              </w:rPr>
            </w:pPr>
            <w:r>
              <w:rPr>
                <w:rFonts w:hint="eastAsia" w:ascii="宋体" w:hAnsi="宋体" w:cs="宋体"/>
                <w:color w:val="000000"/>
                <w:kern w:val="0"/>
                <w:szCs w:val="21"/>
              </w:rPr>
              <w:t>天津时调</w:t>
            </w:r>
          </w:p>
        </w:tc>
        <w:tc>
          <w:tcPr>
            <w:tcW w:w="1138"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4</w:t>
            </w:r>
          </w:p>
        </w:tc>
        <w:tc>
          <w:tcPr>
            <w:tcW w:w="1376" w:type="dxa"/>
            <w:vAlign w:val="center"/>
          </w:tcPr>
          <w:p>
            <w:pPr>
              <w:widowControl/>
              <w:spacing w:before="156" w:beforeLines="50" w:after="156" w:afterLines="50"/>
              <w:jc w:val="center"/>
              <w:rPr>
                <w:rFonts w:ascii="宋体" w:hAnsi="宋体" w:cstheme="minorBidi"/>
                <w:szCs w:val="21"/>
              </w:rPr>
            </w:pPr>
            <w:r>
              <w:rPr>
                <w:rFonts w:hint="eastAsia" w:ascii="宋体" w:hAnsi="宋体" w:cstheme="minorBidi"/>
                <w:szCs w:val="21"/>
              </w:rPr>
              <w:t>作业：复习课程音频</w:t>
            </w:r>
          </w:p>
          <w:p>
            <w:pPr>
              <w:widowControl/>
              <w:spacing w:before="156" w:beforeLines="50" w:after="156" w:afterLines="50"/>
              <w:jc w:val="center"/>
              <w:rPr>
                <w:rFonts w:ascii="宋体" w:hAnsi="宋体" w:cstheme="minorBidi"/>
                <w:szCs w:val="21"/>
              </w:rPr>
            </w:pPr>
            <w:r>
              <w:rPr>
                <w:rFonts w:hint="eastAsia" w:ascii="宋体" w:hAnsi="宋体" w:cstheme="minorBidi"/>
                <w:szCs w:val="21"/>
              </w:rPr>
              <w:t>要求：正确模唱</w:t>
            </w:r>
          </w:p>
        </w:tc>
        <w:tc>
          <w:tcPr>
            <w:tcW w:w="899" w:type="dxa"/>
            <w:vAlign w:val="center"/>
          </w:tcPr>
          <w:p>
            <w:pPr>
              <w:widowControl/>
              <w:spacing w:before="156" w:beforeLines="50" w:after="156" w:afterLines="50"/>
              <w:jc w:val="center"/>
              <w:rPr>
                <w:rFonts w:ascii="宋体" w:hAnsi="宋体" w:cstheme="minorBidi"/>
                <w:szCs w:val="21"/>
              </w:rPr>
            </w:pPr>
          </w:p>
        </w:tc>
      </w:tr>
    </w:tbl>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rPr>
      </w:pPr>
      <w:r>
        <w:rPr>
          <w:rFonts w:ascii="宋体" w:hAnsi="宋体"/>
        </w:rPr>
        <w:t>1</w:t>
      </w:r>
      <w:r>
        <w:rPr>
          <w:rFonts w:hint="eastAsia" w:ascii="宋体" w:hAnsi="宋体"/>
        </w:rPr>
        <w:t>．袁静芳主编，《中国传统音乐概论》，上海音乐出版社</w:t>
      </w:r>
    </w:p>
    <w:p>
      <w:pPr>
        <w:widowControl/>
        <w:spacing w:before="156" w:beforeLines="50" w:after="156" w:afterLines="50"/>
        <w:ind w:firstLine="420" w:firstLineChars="200"/>
        <w:jc w:val="left"/>
        <w:rPr>
          <w:rFonts w:ascii="宋体" w:hAnsi="宋体"/>
        </w:rPr>
      </w:pPr>
      <w:r>
        <w:rPr>
          <w:rFonts w:hint="eastAsia" w:ascii="宋体" w:hAnsi="宋体"/>
        </w:rPr>
        <w:t>2．周青青，《民族民间音乐》，人民音乐出版社</w:t>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七、教学方法</w:t>
      </w:r>
    </w:p>
    <w:p>
      <w:pPr>
        <w:widowControl/>
        <w:spacing w:before="156" w:beforeLines="50" w:after="156" w:afterLines="50"/>
        <w:ind w:firstLine="420" w:firstLineChars="200"/>
        <w:jc w:val="left"/>
        <w:rPr>
          <w:rFonts w:ascii="宋体" w:hAnsi="宋体"/>
          <w:bCs/>
        </w:rPr>
      </w:pPr>
      <w:r>
        <w:rPr>
          <w:rFonts w:hint="eastAsia" w:ascii="宋体" w:hAnsi="宋体"/>
        </w:rPr>
        <w:t>1</w:t>
      </w:r>
      <w:r>
        <w:rPr>
          <w:rFonts w:ascii="宋体" w:hAnsi="宋体"/>
        </w:rPr>
        <w:t>.</w:t>
      </w:r>
      <w:r>
        <w:rPr>
          <w:rFonts w:hint="eastAsia" w:ascii="宋体" w:hAnsi="宋体"/>
        </w:rPr>
        <w:t>讲授法：通过讲解中国传统音乐的相关概念和知识，帮助学生熟悉我国不同地区的戏曲和曲艺文化。</w:t>
      </w:r>
    </w:p>
    <w:p>
      <w:pPr>
        <w:widowControl/>
        <w:spacing w:before="156" w:beforeLines="50" w:after="156" w:afterLines="50"/>
        <w:ind w:firstLine="420" w:firstLineChars="200"/>
        <w:jc w:val="left"/>
        <w:rPr>
          <w:rFonts w:ascii="宋体" w:hAnsi="宋体"/>
        </w:rPr>
      </w:pPr>
      <w:r>
        <w:rPr>
          <w:rFonts w:hint="eastAsia" w:ascii="宋体" w:hAnsi="宋体"/>
        </w:rPr>
        <w:t>2</w:t>
      </w:r>
      <w:r>
        <w:rPr>
          <w:rFonts w:ascii="宋体" w:hAnsi="宋体"/>
        </w:rPr>
        <w:t>.</w:t>
      </w:r>
      <w:r>
        <w:rPr>
          <w:rFonts w:hint="eastAsia" w:ascii="宋体" w:hAnsi="宋体"/>
        </w:rPr>
        <w:t>讨论法：围绕知识点课堂提问，学生之间讨论，回答问题，形成师生互动，学生互动，达到良好的教学效果。</w:t>
      </w:r>
    </w:p>
    <w:p>
      <w:pPr>
        <w:widowControl/>
        <w:spacing w:before="156" w:beforeLines="50" w:after="156" w:afterLines="50"/>
        <w:ind w:firstLine="420" w:firstLineChars="200"/>
        <w:jc w:val="left"/>
        <w:rPr>
          <w:rFonts w:ascii="宋体" w:hAnsi="宋体"/>
        </w:rPr>
      </w:pPr>
      <w:r>
        <w:rPr>
          <w:rFonts w:hint="eastAsia" w:ascii="宋体" w:hAnsi="宋体"/>
        </w:rPr>
        <w:t>3</w:t>
      </w:r>
      <w:r>
        <w:rPr>
          <w:rFonts w:ascii="宋体" w:hAnsi="宋体"/>
        </w:rPr>
        <w:t>.</w:t>
      </w:r>
      <w:r>
        <w:rPr>
          <w:rFonts w:hint="eastAsia" w:ascii="宋体" w:hAnsi="宋体"/>
        </w:rPr>
        <w:t>音乐作品欣赏：根据课程内容，选择音乐作品，根据进度把握作品的数量。</w:t>
      </w:r>
    </w:p>
    <w:p>
      <w:pPr>
        <w:widowControl/>
        <w:spacing w:before="156" w:beforeLines="50" w:after="156" w:afterLines="50"/>
        <w:ind w:firstLine="420" w:firstLineChars="200"/>
        <w:jc w:val="left"/>
        <w:rPr>
          <w:rFonts w:ascii="宋体" w:hAnsi="宋体"/>
        </w:rPr>
      </w:pP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（一）课程考核与课程目标的对应关系</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3"/>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Cs/>
              </w:rPr>
            </w:pPr>
            <w:r>
              <w:rPr>
                <w:rFonts w:hint="eastAsia" w:hAnsi="宋体"/>
                <w:bCs/>
              </w:rPr>
              <w:t>分析陌生的戏曲和曲艺作品，论述其艺术特征</w:t>
            </w:r>
          </w:p>
        </w:tc>
        <w:tc>
          <w:tcPr>
            <w:tcW w:w="2849" w:type="dxa"/>
            <w:vAlign w:val="center"/>
          </w:tcPr>
          <w:p>
            <w:pPr>
              <w:pStyle w:val="2"/>
              <w:spacing w:before="156" w:beforeLines="50" w:after="156" w:afterLines="50"/>
              <w:jc w:val="center"/>
              <w:rPr>
                <w:rFonts w:hAnsi="宋体"/>
                <w:bCs/>
              </w:rPr>
            </w:pPr>
            <w:r>
              <w:rPr>
                <w:rFonts w:hint="eastAsia" w:hAnsi="宋体"/>
                <w:bCs/>
              </w:rPr>
              <w:t>笔试，课堂提问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Cs/>
              </w:rPr>
            </w:pPr>
            <w:r>
              <w:rPr>
                <w:rFonts w:hint="eastAsia" w:hAnsi="宋体"/>
                <w:bCs/>
              </w:rPr>
              <w:t>用正确的风格模唱戏曲和曲艺作品片段</w:t>
            </w:r>
          </w:p>
        </w:tc>
        <w:tc>
          <w:tcPr>
            <w:tcW w:w="2849" w:type="dxa"/>
            <w:vAlign w:val="center"/>
          </w:tcPr>
          <w:p>
            <w:pPr>
              <w:pStyle w:val="2"/>
              <w:spacing w:before="156" w:beforeLines="50" w:after="156" w:afterLines="50"/>
              <w:jc w:val="center"/>
              <w:rPr>
                <w:rFonts w:hAnsi="宋体"/>
                <w:bCs/>
              </w:rPr>
            </w:pPr>
            <w:r>
              <w:rPr>
                <w:rFonts w:hint="eastAsia" w:hAnsi="宋体"/>
                <w:bCs/>
              </w:rPr>
              <w:t>课堂点名抽查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Cs/>
              </w:rPr>
            </w:pPr>
            <w:r>
              <w:rPr>
                <w:rFonts w:hint="eastAsia" w:hAnsi="宋体"/>
                <w:bCs/>
              </w:rPr>
              <w:t>论述具体作品中的传统文化内涵</w:t>
            </w:r>
          </w:p>
        </w:tc>
        <w:tc>
          <w:tcPr>
            <w:tcW w:w="2849" w:type="dxa"/>
            <w:vAlign w:val="center"/>
          </w:tcPr>
          <w:p>
            <w:pPr>
              <w:pStyle w:val="2"/>
              <w:spacing w:before="156" w:beforeLines="50" w:after="156" w:afterLines="50"/>
              <w:jc w:val="center"/>
              <w:rPr>
                <w:rFonts w:hAnsi="宋体"/>
                <w:bCs/>
              </w:rPr>
            </w:pPr>
            <w:r>
              <w:rPr>
                <w:rFonts w:hint="eastAsia" w:hAnsi="宋体"/>
                <w:bCs/>
              </w:rPr>
              <w:t>笔试，课堂提问</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（二）评定方法</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1．评定方法</w:t>
      </w:r>
    </w:p>
    <w:p>
      <w:pPr>
        <w:widowControl/>
        <w:spacing w:before="156" w:beforeLines="50" w:after="156" w:afterLines="50"/>
        <w:ind w:firstLine="420" w:firstLineChars="200"/>
        <w:jc w:val="left"/>
        <w:rPr>
          <w:rFonts w:ascii="宋体" w:hAnsi="宋体"/>
        </w:rPr>
      </w:pPr>
      <w:r>
        <w:rPr>
          <w:rFonts w:hint="eastAsia" w:ascii="宋体" w:hAnsi="宋体"/>
        </w:rPr>
        <w:t>平时成绩：</w:t>
      </w:r>
      <w:r>
        <w:rPr>
          <w:rFonts w:ascii="宋体" w:hAnsi="宋体"/>
        </w:rPr>
        <w:t>20%</w:t>
      </w:r>
      <w:r>
        <w:rPr>
          <w:rFonts w:hint="eastAsia" w:ascii="宋体" w:hAnsi="宋体"/>
        </w:rPr>
        <w:t>，出勤率+课堂活跃度</w:t>
      </w:r>
    </w:p>
    <w:p>
      <w:pPr>
        <w:widowControl/>
        <w:spacing w:before="156" w:beforeLines="50" w:after="156" w:afterLines="50"/>
        <w:ind w:firstLine="420" w:firstLineChars="200"/>
        <w:jc w:val="left"/>
        <w:rPr>
          <w:rFonts w:ascii="宋体" w:hAnsi="宋体"/>
        </w:rPr>
      </w:pPr>
      <w:r>
        <w:rPr>
          <w:rFonts w:hint="eastAsia" w:ascii="宋体" w:hAnsi="宋体"/>
        </w:rPr>
        <w:t>期中考试：</w:t>
      </w:r>
      <w:r>
        <w:rPr>
          <w:rFonts w:ascii="宋体" w:hAnsi="宋体"/>
        </w:rPr>
        <w:t>20%</w:t>
      </w:r>
      <w:r>
        <w:rPr>
          <w:rFonts w:hint="eastAsia" w:ascii="宋体" w:hAnsi="宋体"/>
        </w:rPr>
        <w:t>，点名模唱+提问</w:t>
      </w:r>
    </w:p>
    <w:p>
      <w:pPr>
        <w:widowControl/>
        <w:spacing w:before="156" w:beforeLines="50" w:after="156" w:afterLines="50"/>
        <w:ind w:firstLine="420" w:firstLineChars="200"/>
        <w:jc w:val="left"/>
        <w:rPr>
          <w:rFonts w:ascii="宋体" w:hAnsi="宋体"/>
        </w:rPr>
      </w:pPr>
      <w:r>
        <w:rPr>
          <w:rFonts w:hint="eastAsia" w:ascii="宋体" w:hAnsi="宋体"/>
        </w:rPr>
        <w:t>期末考试：</w:t>
      </w:r>
      <w:r>
        <w:rPr>
          <w:rFonts w:ascii="宋体" w:hAnsi="宋体"/>
        </w:rPr>
        <w:t>60%</w:t>
      </w:r>
      <w:r>
        <w:rPr>
          <w:rFonts w:hint="eastAsia" w:ascii="宋体" w:hAnsi="宋体"/>
        </w:rPr>
        <w:t>，闭卷笔试</w:t>
      </w:r>
    </w:p>
    <w:p>
      <w:pPr>
        <w:widowControl/>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2．课程目标的考核占比与达成度分析</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b/>
                <w:bCs/>
                <w:kern w:val="0"/>
                <w:szCs w:val="21"/>
              </w:rPr>
            </w:pP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 xml:space="preserve"> </w:t>
            </w:r>
            <w:r>
              <w:rPr>
                <w:rFonts w:ascii="宋体" w:hAnsi="宋体"/>
                <w:b/>
                <w:bCs/>
                <w:kern w:val="0"/>
                <w:szCs w:val="21"/>
              </w:rPr>
              <w:t xml:space="preserve">    </w:t>
            </w:r>
            <w:r>
              <w:rPr>
                <w:rFonts w:hint="eastAsia" w:ascii="宋体" w:hAnsi="宋体"/>
                <w:b/>
                <w:bCs/>
                <w:kern w:val="0"/>
                <w:szCs w:val="21"/>
              </w:rPr>
              <w:t>考核占比</w:t>
            </w:r>
          </w:p>
          <w:p>
            <w:pPr>
              <w:spacing w:before="156" w:beforeLines="50" w:after="156" w:afterLines="50"/>
              <w:ind w:firstLine="105" w:firstLineChars="50"/>
              <w:rPr>
                <w:rFonts w:ascii="宋体" w:hAnsi="宋体"/>
                <w:b/>
                <w:bCs/>
                <w:kern w:val="0"/>
                <w:szCs w:val="21"/>
              </w:rPr>
            </w:pPr>
            <w:r>
              <w:rPr>
                <w:rFonts w:hint="eastAsia" w:ascii="宋体" w:hAnsi="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期中</w:t>
            </w:r>
          </w:p>
        </w:tc>
        <w:tc>
          <w:tcPr>
            <w:tcW w:w="1134" w:type="dxa"/>
            <w:vAlign w:val="center"/>
          </w:tcPr>
          <w:p>
            <w:pPr>
              <w:spacing w:before="156" w:beforeLines="50" w:after="156" w:afterLines="50"/>
              <w:jc w:val="center"/>
              <w:rPr>
                <w:rFonts w:ascii="宋体" w:hAnsi="宋体"/>
                <w:b/>
                <w:bCs/>
                <w:kern w:val="0"/>
                <w:szCs w:val="21"/>
              </w:rPr>
            </w:pPr>
            <w:r>
              <w:rPr>
                <w:rFonts w:ascii="宋体" w:hAnsi="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b/>
                <w:bCs/>
                <w:kern w:val="0"/>
                <w:szCs w:val="21"/>
              </w:rPr>
            </w:pPr>
            <w:r>
              <w:rPr>
                <w:rFonts w:ascii="宋体" w:hAnsi="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课程目标1</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vAlign w:val="center"/>
          </w:tcPr>
          <w:p>
            <w:pPr>
              <w:spacing w:before="156" w:beforeLines="50" w:after="156" w:afterLines="50"/>
              <w:jc w:val="center"/>
              <w:rPr>
                <w:rFonts w:ascii="宋体" w:hAnsi="宋体"/>
                <w:kern w:val="0"/>
                <w:szCs w:val="21"/>
              </w:rPr>
            </w:pPr>
            <w:r>
              <w:rPr>
                <w:rFonts w:hint="default" w:ascii="宋体" w:hAnsi="宋体"/>
              </w:rPr>
              <w:t>2</w:t>
            </w:r>
            <w:r>
              <w:rPr>
                <w:rFonts w:ascii="宋体" w:hAnsi="宋体"/>
              </w:rPr>
              <w:t>0%</w:t>
            </w:r>
          </w:p>
        </w:tc>
        <w:tc>
          <w:tcPr>
            <w:tcW w:w="2627" w:type="dxa"/>
            <w:vMerge w:val="restart"/>
            <w:shd w:val="clear" w:color="auto" w:fill="auto"/>
            <w:vAlign w:val="center"/>
          </w:tcPr>
          <w:p>
            <w:pPr>
              <w:spacing w:before="156" w:beforeLines="50" w:after="156" w:afterLines="50"/>
              <w:rPr>
                <w:rFonts w:ascii="宋体" w:hAnsi="宋体"/>
                <w:kern w:val="0"/>
                <w:szCs w:val="21"/>
              </w:rPr>
            </w:pPr>
            <w:r>
              <w:rPr>
                <w:rFonts w:hint="eastAsia" w:ascii="宋体" w:hAnsi="宋体"/>
                <w:kern w:val="0"/>
                <w:szCs w:val="21"/>
              </w:rPr>
              <w:t>课程</w:t>
            </w:r>
            <w:r>
              <w:rPr>
                <w:rFonts w:ascii="宋体" w:hAnsi="宋体"/>
                <w:kern w:val="0"/>
                <w:szCs w:val="21"/>
              </w:rPr>
              <w:t>目标</w:t>
            </w:r>
            <w:r>
              <w:rPr>
                <w:rFonts w:hint="eastAsia" w:ascii="宋体" w:hAnsi="宋体"/>
                <w:kern w:val="0"/>
                <w:szCs w:val="21"/>
              </w:rPr>
              <w:t>1</w:t>
            </w:r>
            <w:r>
              <w:rPr>
                <w:rFonts w:ascii="宋体" w:hAnsi="宋体"/>
                <w:kern w:val="0"/>
                <w:szCs w:val="21"/>
              </w:rPr>
              <w:t>达成度={0.</w:t>
            </w:r>
            <w:r>
              <w:rPr>
                <w:rFonts w:hint="default" w:ascii="宋体" w:hAnsi="宋体"/>
                <w:kern w:val="0"/>
                <w:szCs w:val="21"/>
              </w:rPr>
              <w:t>2</w:t>
            </w:r>
            <w:r>
              <w:rPr>
                <w:rFonts w:ascii="宋体" w:hAnsi="宋体"/>
                <w:kern w:val="0"/>
                <w:szCs w:val="21"/>
              </w:rPr>
              <w:t>ｘ平时目标</w:t>
            </w:r>
            <w:r>
              <w:rPr>
                <w:rFonts w:hint="eastAsia" w:ascii="宋体" w:hAnsi="宋体"/>
                <w:kern w:val="0"/>
                <w:szCs w:val="21"/>
              </w:rPr>
              <w:t>1</w:t>
            </w:r>
            <w:r>
              <w:rPr>
                <w:rFonts w:ascii="宋体" w:hAnsi="宋体"/>
                <w:kern w:val="0"/>
                <w:szCs w:val="21"/>
              </w:rPr>
              <w:t>成绩+0.</w:t>
            </w:r>
            <w:r>
              <w:rPr>
                <w:rFonts w:hint="eastAsia" w:ascii="宋体" w:hAnsi="宋体"/>
                <w:kern w:val="0"/>
                <w:szCs w:val="21"/>
              </w:rPr>
              <w:t>2</w:t>
            </w:r>
            <w:r>
              <w:rPr>
                <w:rFonts w:ascii="宋体" w:hAnsi="宋体"/>
                <w:kern w:val="0"/>
                <w:szCs w:val="21"/>
              </w:rPr>
              <w:t>ｘ期中目标</w:t>
            </w:r>
            <w:r>
              <w:rPr>
                <w:rFonts w:hint="eastAsia" w:ascii="宋体" w:hAnsi="宋体"/>
                <w:kern w:val="0"/>
                <w:szCs w:val="21"/>
              </w:rPr>
              <w:t>1</w:t>
            </w:r>
            <w:r>
              <w:rPr>
                <w:rFonts w:ascii="宋体" w:hAnsi="宋体"/>
                <w:kern w:val="0"/>
                <w:szCs w:val="21"/>
              </w:rPr>
              <w:t>成绩+0.</w:t>
            </w:r>
            <w:r>
              <w:rPr>
                <w:rFonts w:hint="default" w:ascii="宋体" w:hAnsi="宋体"/>
                <w:kern w:val="0"/>
                <w:szCs w:val="21"/>
              </w:rPr>
              <w:t>6</w:t>
            </w:r>
            <w:r>
              <w:rPr>
                <w:rFonts w:ascii="宋体" w:hAnsi="宋体"/>
                <w:kern w:val="0"/>
                <w:szCs w:val="21"/>
              </w:rPr>
              <w:t>ｘ期末目标</w:t>
            </w:r>
            <w:r>
              <w:rPr>
                <w:rFonts w:hint="eastAsia" w:ascii="宋体" w:hAnsi="宋体"/>
                <w:kern w:val="0"/>
                <w:szCs w:val="21"/>
              </w:rPr>
              <w:t>1</w:t>
            </w:r>
            <w:r>
              <w:rPr>
                <w:rFonts w:ascii="宋体" w:hAnsi="宋体"/>
                <w:kern w:val="0"/>
                <w:szCs w:val="21"/>
              </w:rPr>
              <w:t>成绩}/目标</w:t>
            </w:r>
            <w:r>
              <w:rPr>
                <w:rFonts w:hint="eastAsia" w:ascii="宋体" w:hAnsi="宋体"/>
                <w:kern w:val="0"/>
                <w:szCs w:val="21"/>
              </w:rPr>
              <w:t>1</w:t>
            </w:r>
            <w:r>
              <w:rPr>
                <w:rFonts w:ascii="宋体" w:hAnsi="宋体"/>
                <w:kern w:val="0"/>
                <w:szCs w:val="21"/>
              </w:rPr>
              <w:t>总分</w:t>
            </w:r>
            <w:r>
              <w:rPr>
                <w:rFonts w:hint="eastAsia" w:ascii="宋体" w:hAnsi="宋体"/>
                <w:kern w:val="0"/>
                <w:szCs w:val="21"/>
              </w:rPr>
              <w:t>。按课程考核实际情况描述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课程目标2</w:t>
            </w:r>
          </w:p>
        </w:tc>
        <w:tc>
          <w:tcPr>
            <w:tcW w:w="858"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shd w:val="clear" w:color="auto" w:fill="auto"/>
            <w:vAlign w:val="center"/>
          </w:tcPr>
          <w:p>
            <w:pPr>
              <w:spacing w:before="156" w:beforeLines="50" w:after="156" w:afterLines="50"/>
              <w:jc w:val="center"/>
              <w:rPr>
                <w:rFonts w:ascii="宋体" w:hAnsi="宋体"/>
                <w:kern w:val="0"/>
                <w:szCs w:val="21"/>
              </w:rPr>
            </w:pPr>
            <w:r>
              <w:rPr>
                <w:rFonts w:ascii="宋体" w:hAnsi="宋体"/>
              </w:rPr>
              <w:t>20%</w:t>
            </w:r>
          </w:p>
        </w:tc>
        <w:tc>
          <w:tcPr>
            <w:tcW w:w="1134" w:type="dxa"/>
            <w:vAlign w:val="center"/>
          </w:tcPr>
          <w:p>
            <w:pPr>
              <w:spacing w:before="156" w:beforeLines="50" w:after="156" w:afterLines="50"/>
              <w:jc w:val="center"/>
              <w:rPr>
                <w:rFonts w:ascii="宋体" w:hAnsi="宋体"/>
                <w:kern w:val="0"/>
                <w:szCs w:val="21"/>
              </w:rPr>
            </w:pPr>
            <w:r>
              <w:rPr>
                <w:rFonts w:hint="default" w:ascii="宋体" w:hAnsi="宋体"/>
              </w:rPr>
              <w:t>2</w:t>
            </w:r>
            <w:r>
              <w:rPr>
                <w:rFonts w:ascii="宋体" w:hAnsi="宋体"/>
              </w:rPr>
              <w:t>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kern w:val="0"/>
                <w:szCs w:val="21"/>
              </w:rPr>
            </w:pPr>
            <w:r>
              <w:rPr>
                <w:rFonts w:hint="eastAsia" w:ascii="宋体" w:hAnsi="宋体"/>
                <w:kern w:val="0"/>
                <w:szCs w:val="21"/>
              </w:rPr>
              <w:t>课程目标3</w:t>
            </w:r>
          </w:p>
        </w:tc>
        <w:tc>
          <w:tcPr>
            <w:tcW w:w="858" w:type="dxa"/>
            <w:shd w:val="clear" w:color="auto" w:fill="auto"/>
            <w:vAlign w:val="center"/>
          </w:tcPr>
          <w:p>
            <w:pPr>
              <w:spacing w:before="156" w:beforeLines="50" w:after="156" w:afterLines="50"/>
              <w:jc w:val="center"/>
              <w:rPr>
                <w:rFonts w:ascii="宋体" w:hAnsi="宋体"/>
                <w:kern w:val="0"/>
                <w:szCs w:val="21"/>
              </w:rPr>
            </w:pPr>
            <w:r>
              <w:rPr>
                <w:rFonts w:hint="default" w:ascii="宋体" w:hAnsi="宋体"/>
              </w:rPr>
              <w:t>6</w:t>
            </w:r>
            <w:r>
              <w:rPr>
                <w:rFonts w:ascii="宋体" w:hAnsi="宋体"/>
              </w:rPr>
              <w:t>0%</w:t>
            </w:r>
          </w:p>
        </w:tc>
        <w:tc>
          <w:tcPr>
            <w:tcW w:w="1134" w:type="dxa"/>
            <w:shd w:val="clear" w:color="auto" w:fill="auto"/>
            <w:vAlign w:val="center"/>
          </w:tcPr>
          <w:p>
            <w:pPr>
              <w:spacing w:before="156" w:beforeLines="50" w:after="156" w:afterLines="50"/>
              <w:jc w:val="center"/>
              <w:rPr>
                <w:rFonts w:ascii="宋体" w:hAnsi="宋体"/>
                <w:kern w:val="0"/>
                <w:szCs w:val="21"/>
              </w:rPr>
            </w:pPr>
            <w:r>
              <w:rPr>
                <w:rFonts w:hint="default" w:ascii="宋体" w:hAnsi="宋体"/>
              </w:rPr>
              <w:t>6</w:t>
            </w:r>
            <w:r>
              <w:rPr>
                <w:rFonts w:ascii="宋体" w:hAnsi="宋体"/>
              </w:rPr>
              <w:t>0%</w:t>
            </w:r>
          </w:p>
        </w:tc>
        <w:tc>
          <w:tcPr>
            <w:tcW w:w="1134" w:type="dxa"/>
            <w:vAlign w:val="center"/>
          </w:tcPr>
          <w:p>
            <w:pPr>
              <w:spacing w:before="156" w:beforeLines="50" w:after="156" w:afterLines="50"/>
              <w:jc w:val="center"/>
              <w:rPr>
                <w:rFonts w:ascii="宋体" w:hAnsi="宋体"/>
                <w:kern w:val="0"/>
                <w:szCs w:val="21"/>
              </w:rPr>
            </w:pPr>
            <w:r>
              <w:rPr>
                <w:rFonts w:ascii="宋体" w:hAnsi="宋体"/>
              </w:rPr>
              <w:t>60%</w:t>
            </w:r>
          </w:p>
        </w:tc>
        <w:tc>
          <w:tcPr>
            <w:tcW w:w="2627" w:type="dxa"/>
            <w:vMerge w:val="continue"/>
            <w:shd w:val="clear" w:color="auto" w:fill="auto"/>
            <w:vAlign w:val="center"/>
          </w:tcPr>
          <w:p>
            <w:pPr>
              <w:spacing w:before="156" w:beforeLines="50" w:after="156" w:afterLines="50"/>
              <w:rPr>
                <w:rFonts w:ascii="宋体" w:hAnsi="宋体"/>
                <w:kern w:val="0"/>
                <w:szCs w:val="21"/>
              </w:rPr>
            </w:pPr>
          </w:p>
        </w:tc>
      </w:tr>
    </w:tbl>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bookmarkStart w:id="1" w:name="_GoBack"/>
      <w:bookmarkEnd w:id="1"/>
      <w:r>
        <w:rPr>
          <w:rFonts w:hint="eastAsia" w:ascii="黑体" w:hAnsi="黑体" w:eastAsia="黑体"/>
          <w:b/>
          <w:sz w:val="24"/>
        </w:rPr>
        <w:t>（三）评分标准</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能够准确听辨各个地区的戏曲和曲艺风格，深入陈述各种其历史沿革、文化内涵、风格流派等知识。</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能够准确听辨出大多数地区的戏曲和曲艺风格，能够陈述各种其历史沿革、文化内涵、风格流派等知识。</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能够准确听辨出一半地区的戏曲和曲艺风格，能够基本陈述各种其历史沿革、文化内涵、风格流派等知识。</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能够听辨出一小部分地区的戏曲和曲艺风格，能够大致陈述各种其历史沿革、文化内涵、风格流派等知识。</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不能听辨出各个地区的戏曲和曲艺风格，无法陈述各种其历史沿革、文化内涵、风格流派等知识。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掌握中国地方传统文化常识，深刻理解音乐形态与音乐风格的基本知识，详细了解音乐作品所反映出的各地风土人情。</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掌握中国大多数地方传统文化常识，理解音乐形态与音乐风格的基本知识，了解音乐作品所反映出的各地风土人情。</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掌握中国一半部分地方传统文化常识，熟记一半部分音乐形态与音乐风格的基本知识，大致了解音乐作品所反映出的各地风土人情。</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掌握中国少部分地区传统文化常识，大致了解音乐形态与音乐风格的基本知识，大致了解音乐作品所反映出的各地风土人情。</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hAnsi="宋体" w:cs="宋体"/>
              </w:rPr>
              <w:t>未掌握中国地方传统文化常识，无法理解音乐形态与音乐风格的基本知识，无法理解音乐作品所反映出的各地风土人情。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能够深入阐述音乐作品背后的文化内涵，深刻理解中国传统音乐中所展现的民间传说、民族性格和民族气节，以及其中蕴含的哲理与社会主义核心价值观。</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能够阐述音乐作品背后的文化内涵，理解中国传统音乐中所展现的民间传说、民族性格和民族气节，以及其中蕴含的哲理与社会主义核心价值观。</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能够解释一半部分音乐作品背后的文化内涵，理解中国传统音乐中所展现的民间传说、民族性格和民族气节，以及其中蕴含的哲理与社会主义核心价值观。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能够解释少部分音乐作品背后的文化内涵，大致了解中国传统音乐中所展现的民间传说、民族性格和民族气节，以及其中蕴含的哲理与社会主义核心价值观。</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黑体" w:hAnsi="宋体"/>
                <w:szCs w:val="21"/>
              </w:rPr>
              <w:t>无法阐述音乐作品背后的文化内涵，不理解中国传统音乐中所展现的民间传说、民族性格和民族气节，以及其中蕴含的哲理与社会主义核心价值观。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TimesNewRomanPSMT">
    <w:panose1 w:val="02020603050405020304"/>
    <w:charset w:val="8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650D5815"/>
    <w:rsid w:val="00000018"/>
    <w:rsid w:val="0000106E"/>
    <w:rsid w:val="00004981"/>
    <w:rsid w:val="00015207"/>
    <w:rsid w:val="0002321A"/>
    <w:rsid w:val="0002406B"/>
    <w:rsid w:val="000248F9"/>
    <w:rsid w:val="00026473"/>
    <w:rsid w:val="00037124"/>
    <w:rsid w:val="00037349"/>
    <w:rsid w:val="00037F3A"/>
    <w:rsid w:val="00041336"/>
    <w:rsid w:val="00042D4F"/>
    <w:rsid w:val="000471B9"/>
    <w:rsid w:val="000516EA"/>
    <w:rsid w:val="0005250B"/>
    <w:rsid w:val="000535AF"/>
    <w:rsid w:val="00060E0B"/>
    <w:rsid w:val="00070E63"/>
    <w:rsid w:val="000725B5"/>
    <w:rsid w:val="0007763A"/>
    <w:rsid w:val="00082719"/>
    <w:rsid w:val="00084F8D"/>
    <w:rsid w:val="00085AA7"/>
    <w:rsid w:val="0009204F"/>
    <w:rsid w:val="000941D0"/>
    <w:rsid w:val="000A2BE2"/>
    <w:rsid w:val="000A51AF"/>
    <w:rsid w:val="000A5517"/>
    <w:rsid w:val="000A7643"/>
    <w:rsid w:val="000A7ADE"/>
    <w:rsid w:val="000B3203"/>
    <w:rsid w:val="000B5C5B"/>
    <w:rsid w:val="000C0E7E"/>
    <w:rsid w:val="000C5FAF"/>
    <w:rsid w:val="000C66CA"/>
    <w:rsid w:val="000C75FC"/>
    <w:rsid w:val="000D2065"/>
    <w:rsid w:val="000D4D55"/>
    <w:rsid w:val="000D6631"/>
    <w:rsid w:val="000D6C56"/>
    <w:rsid w:val="000D72C7"/>
    <w:rsid w:val="000E03EE"/>
    <w:rsid w:val="000E07FF"/>
    <w:rsid w:val="000E1EA2"/>
    <w:rsid w:val="000E4AA5"/>
    <w:rsid w:val="000E67A1"/>
    <w:rsid w:val="000E685F"/>
    <w:rsid w:val="000F427C"/>
    <w:rsid w:val="0010039D"/>
    <w:rsid w:val="00101987"/>
    <w:rsid w:val="00102751"/>
    <w:rsid w:val="00102D2C"/>
    <w:rsid w:val="00104ECD"/>
    <w:rsid w:val="00105149"/>
    <w:rsid w:val="00105781"/>
    <w:rsid w:val="001057AE"/>
    <w:rsid w:val="001126E6"/>
    <w:rsid w:val="001135AE"/>
    <w:rsid w:val="00113F76"/>
    <w:rsid w:val="00114B09"/>
    <w:rsid w:val="00121A11"/>
    <w:rsid w:val="00124E33"/>
    <w:rsid w:val="00134C01"/>
    <w:rsid w:val="00137D8A"/>
    <w:rsid w:val="00141755"/>
    <w:rsid w:val="00142518"/>
    <w:rsid w:val="00142BEC"/>
    <w:rsid w:val="0015390F"/>
    <w:rsid w:val="001544CD"/>
    <w:rsid w:val="00156580"/>
    <w:rsid w:val="00156795"/>
    <w:rsid w:val="001645B6"/>
    <w:rsid w:val="001658C1"/>
    <w:rsid w:val="00170ECA"/>
    <w:rsid w:val="00171199"/>
    <w:rsid w:val="001742BF"/>
    <w:rsid w:val="00174527"/>
    <w:rsid w:val="00174622"/>
    <w:rsid w:val="0017528E"/>
    <w:rsid w:val="00177993"/>
    <w:rsid w:val="00183579"/>
    <w:rsid w:val="00184F82"/>
    <w:rsid w:val="001861FB"/>
    <w:rsid w:val="001902C7"/>
    <w:rsid w:val="001909FE"/>
    <w:rsid w:val="001972A3"/>
    <w:rsid w:val="001A607F"/>
    <w:rsid w:val="001A6DAC"/>
    <w:rsid w:val="001B0664"/>
    <w:rsid w:val="001B225E"/>
    <w:rsid w:val="001B2CFB"/>
    <w:rsid w:val="001B5D62"/>
    <w:rsid w:val="001B620A"/>
    <w:rsid w:val="001B70C9"/>
    <w:rsid w:val="001C2105"/>
    <w:rsid w:val="001C498F"/>
    <w:rsid w:val="001D11F5"/>
    <w:rsid w:val="001D13B5"/>
    <w:rsid w:val="001D261C"/>
    <w:rsid w:val="001D3229"/>
    <w:rsid w:val="001D427A"/>
    <w:rsid w:val="001D4B1A"/>
    <w:rsid w:val="001D4EBA"/>
    <w:rsid w:val="001D6417"/>
    <w:rsid w:val="001D6757"/>
    <w:rsid w:val="001E0E6C"/>
    <w:rsid w:val="001E1807"/>
    <w:rsid w:val="001E5E81"/>
    <w:rsid w:val="001F610C"/>
    <w:rsid w:val="0020297E"/>
    <w:rsid w:val="00205D33"/>
    <w:rsid w:val="002077F5"/>
    <w:rsid w:val="0021035E"/>
    <w:rsid w:val="00211FCB"/>
    <w:rsid w:val="002123AD"/>
    <w:rsid w:val="002178F9"/>
    <w:rsid w:val="00223F4B"/>
    <w:rsid w:val="00224695"/>
    <w:rsid w:val="002263A4"/>
    <w:rsid w:val="0022721E"/>
    <w:rsid w:val="00227C46"/>
    <w:rsid w:val="00230C6C"/>
    <w:rsid w:val="0023249C"/>
    <w:rsid w:val="00234F78"/>
    <w:rsid w:val="00235107"/>
    <w:rsid w:val="00235265"/>
    <w:rsid w:val="00242A2A"/>
    <w:rsid w:val="00247A74"/>
    <w:rsid w:val="00253C8C"/>
    <w:rsid w:val="00257B46"/>
    <w:rsid w:val="0026060B"/>
    <w:rsid w:val="002611D0"/>
    <w:rsid w:val="00264C9A"/>
    <w:rsid w:val="00265FCE"/>
    <w:rsid w:val="00266873"/>
    <w:rsid w:val="002746D1"/>
    <w:rsid w:val="00274F88"/>
    <w:rsid w:val="00276662"/>
    <w:rsid w:val="00282418"/>
    <w:rsid w:val="00285EDF"/>
    <w:rsid w:val="002920C2"/>
    <w:rsid w:val="00293890"/>
    <w:rsid w:val="002952D4"/>
    <w:rsid w:val="002A1B55"/>
    <w:rsid w:val="002A303F"/>
    <w:rsid w:val="002A4572"/>
    <w:rsid w:val="002B1122"/>
    <w:rsid w:val="002B22B7"/>
    <w:rsid w:val="002B624E"/>
    <w:rsid w:val="002C0536"/>
    <w:rsid w:val="002C08B4"/>
    <w:rsid w:val="002C0B2F"/>
    <w:rsid w:val="002C396B"/>
    <w:rsid w:val="002C4FF9"/>
    <w:rsid w:val="002D4725"/>
    <w:rsid w:val="002E30B2"/>
    <w:rsid w:val="002E594D"/>
    <w:rsid w:val="002F4BA5"/>
    <w:rsid w:val="003020B0"/>
    <w:rsid w:val="0030430A"/>
    <w:rsid w:val="00312D9C"/>
    <w:rsid w:val="003136E0"/>
    <w:rsid w:val="0031771A"/>
    <w:rsid w:val="00320434"/>
    <w:rsid w:val="003235DB"/>
    <w:rsid w:val="003255CD"/>
    <w:rsid w:val="00325846"/>
    <w:rsid w:val="00326BE1"/>
    <w:rsid w:val="00327C9F"/>
    <w:rsid w:val="003315B0"/>
    <w:rsid w:val="00332067"/>
    <w:rsid w:val="00332A44"/>
    <w:rsid w:val="00332EBE"/>
    <w:rsid w:val="00336B79"/>
    <w:rsid w:val="00336FE1"/>
    <w:rsid w:val="00337EC3"/>
    <w:rsid w:val="00337F8D"/>
    <w:rsid w:val="003418C3"/>
    <w:rsid w:val="00341D45"/>
    <w:rsid w:val="00344949"/>
    <w:rsid w:val="0034561D"/>
    <w:rsid w:val="00346247"/>
    <w:rsid w:val="0035306D"/>
    <w:rsid w:val="00355796"/>
    <w:rsid w:val="00363F39"/>
    <w:rsid w:val="0036540E"/>
    <w:rsid w:val="00365826"/>
    <w:rsid w:val="00365940"/>
    <w:rsid w:val="00367B32"/>
    <w:rsid w:val="0037266C"/>
    <w:rsid w:val="00374FB2"/>
    <w:rsid w:val="0037592C"/>
    <w:rsid w:val="00376B50"/>
    <w:rsid w:val="00382633"/>
    <w:rsid w:val="00382E1B"/>
    <w:rsid w:val="00383CE2"/>
    <w:rsid w:val="003870EE"/>
    <w:rsid w:val="00394F56"/>
    <w:rsid w:val="003A0458"/>
    <w:rsid w:val="003A0596"/>
    <w:rsid w:val="003A13DF"/>
    <w:rsid w:val="003A1ED7"/>
    <w:rsid w:val="003A2204"/>
    <w:rsid w:val="003A6E30"/>
    <w:rsid w:val="003A7339"/>
    <w:rsid w:val="003B0867"/>
    <w:rsid w:val="003B1395"/>
    <w:rsid w:val="003B1DFB"/>
    <w:rsid w:val="003C0D49"/>
    <w:rsid w:val="003C1C2D"/>
    <w:rsid w:val="003C393F"/>
    <w:rsid w:val="003C4024"/>
    <w:rsid w:val="003C6223"/>
    <w:rsid w:val="003D317A"/>
    <w:rsid w:val="003E217D"/>
    <w:rsid w:val="003E247C"/>
    <w:rsid w:val="003E6BA6"/>
    <w:rsid w:val="003F1647"/>
    <w:rsid w:val="003F1E18"/>
    <w:rsid w:val="003F214F"/>
    <w:rsid w:val="003F41D3"/>
    <w:rsid w:val="003F6673"/>
    <w:rsid w:val="00400D9F"/>
    <w:rsid w:val="00401E36"/>
    <w:rsid w:val="00405ACF"/>
    <w:rsid w:val="004105D2"/>
    <w:rsid w:val="00410769"/>
    <w:rsid w:val="004120A7"/>
    <w:rsid w:val="0041217B"/>
    <w:rsid w:val="00413511"/>
    <w:rsid w:val="00420D85"/>
    <w:rsid w:val="00422786"/>
    <w:rsid w:val="00422BBE"/>
    <w:rsid w:val="00423045"/>
    <w:rsid w:val="004244DF"/>
    <w:rsid w:val="004254C8"/>
    <w:rsid w:val="00430296"/>
    <w:rsid w:val="00433D41"/>
    <w:rsid w:val="004375FF"/>
    <w:rsid w:val="00437EC9"/>
    <w:rsid w:val="0044196D"/>
    <w:rsid w:val="004447B1"/>
    <w:rsid w:val="004544F7"/>
    <w:rsid w:val="0046009F"/>
    <w:rsid w:val="0046044C"/>
    <w:rsid w:val="00466974"/>
    <w:rsid w:val="0047085F"/>
    <w:rsid w:val="00470A95"/>
    <w:rsid w:val="00475783"/>
    <w:rsid w:val="00477D16"/>
    <w:rsid w:val="0049014E"/>
    <w:rsid w:val="004906D2"/>
    <w:rsid w:val="00490CCF"/>
    <w:rsid w:val="00493C89"/>
    <w:rsid w:val="0049404A"/>
    <w:rsid w:val="00495473"/>
    <w:rsid w:val="00496C78"/>
    <w:rsid w:val="004A3DCC"/>
    <w:rsid w:val="004A546D"/>
    <w:rsid w:val="004B0094"/>
    <w:rsid w:val="004B0909"/>
    <w:rsid w:val="004B1573"/>
    <w:rsid w:val="004B1FA0"/>
    <w:rsid w:val="004B490A"/>
    <w:rsid w:val="004C040E"/>
    <w:rsid w:val="004C433B"/>
    <w:rsid w:val="004C4A53"/>
    <w:rsid w:val="004C6C13"/>
    <w:rsid w:val="004D333C"/>
    <w:rsid w:val="004D3533"/>
    <w:rsid w:val="004D5F2C"/>
    <w:rsid w:val="004E096A"/>
    <w:rsid w:val="004E3CC4"/>
    <w:rsid w:val="004E4B5E"/>
    <w:rsid w:val="004E546B"/>
    <w:rsid w:val="004E7089"/>
    <w:rsid w:val="004E7FC0"/>
    <w:rsid w:val="004F26B3"/>
    <w:rsid w:val="004F2F91"/>
    <w:rsid w:val="004F6405"/>
    <w:rsid w:val="0050078D"/>
    <w:rsid w:val="00500F44"/>
    <w:rsid w:val="00501EE1"/>
    <w:rsid w:val="005025DE"/>
    <w:rsid w:val="00504AC5"/>
    <w:rsid w:val="00507177"/>
    <w:rsid w:val="00510541"/>
    <w:rsid w:val="005116AE"/>
    <w:rsid w:val="005159BE"/>
    <w:rsid w:val="005163E8"/>
    <w:rsid w:val="005204AC"/>
    <w:rsid w:val="00522EB8"/>
    <w:rsid w:val="005244E4"/>
    <w:rsid w:val="0053001B"/>
    <w:rsid w:val="00530115"/>
    <w:rsid w:val="00530467"/>
    <w:rsid w:val="0053075B"/>
    <w:rsid w:val="00532BBB"/>
    <w:rsid w:val="00542EDE"/>
    <w:rsid w:val="00553AD8"/>
    <w:rsid w:val="0055416C"/>
    <w:rsid w:val="00561939"/>
    <w:rsid w:val="00561C23"/>
    <w:rsid w:val="0056236B"/>
    <w:rsid w:val="005728B1"/>
    <w:rsid w:val="00577AFB"/>
    <w:rsid w:val="00580DE5"/>
    <w:rsid w:val="00580FDA"/>
    <w:rsid w:val="0058367E"/>
    <w:rsid w:val="005840F8"/>
    <w:rsid w:val="00585486"/>
    <w:rsid w:val="005901A2"/>
    <w:rsid w:val="00590D09"/>
    <w:rsid w:val="0059248A"/>
    <w:rsid w:val="00592701"/>
    <w:rsid w:val="00593932"/>
    <w:rsid w:val="00596E5D"/>
    <w:rsid w:val="0059776D"/>
    <w:rsid w:val="005A0180"/>
    <w:rsid w:val="005A1A6E"/>
    <w:rsid w:val="005A256B"/>
    <w:rsid w:val="005B15AA"/>
    <w:rsid w:val="005B28A9"/>
    <w:rsid w:val="005B4C53"/>
    <w:rsid w:val="005B6D3E"/>
    <w:rsid w:val="005C1973"/>
    <w:rsid w:val="005C2FEA"/>
    <w:rsid w:val="005C58EC"/>
    <w:rsid w:val="005C6E83"/>
    <w:rsid w:val="005D18CD"/>
    <w:rsid w:val="005E474A"/>
    <w:rsid w:val="005E47C3"/>
    <w:rsid w:val="005E5219"/>
    <w:rsid w:val="005E535F"/>
    <w:rsid w:val="005F3EEC"/>
    <w:rsid w:val="005F65F8"/>
    <w:rsid w:val="00600E03"/>
    <w:rsid w:val="006028F1"/>
    <w:rsid w:val="00602BED"/>
    <w:rsid w:val="00610770"/>
    <w:rsid w:val="00611B60"/>
    <w:rsid w:val="00614688"/>
    <w:rsid w:val="0061749F"/>
    <w:rsid w:val="00620E1B"/>
    <w:rsid w:val="00626913"/>
    <w:rsid w:val="00631AAD"/>
    <w:rsid w:val="00632ABD"/>
    <w:rsid w:val="006338D6"/>
    <w:rsid w:val="0063565F"/>
    <w:rsid w:val="00640D8E"/>
    <w:rsid w:val="00641145"/>
    <w:rsid w:val="0064561D"/>
    <w:rsid w:val="00653E0B"/>
    <w:rsid w:val="00655B20"/>
    <w:rsid w:val="00662A92"/>
    <w:rsid w:val="00664E96"/>
    <w:rsid w:val="00664F84"/>
    <w:rsid w:val="00672427"/>
    <w:rsid w:val="006727A9"/>
    <w:rsid w:val="006735F9"/>
    <w:rsid w:val="0067505E"/>
    <w:rsid w:val="00676565"/>
    <w:rsid w:val="006801EE"/>
    <w:rsid w:val="00682854"/>
    <w:rsid w:val="00685DEF"/>
    <w:rsid w:val="0069100C"/>
    <w:rsid w:val="00692E6E"/>
    <w:rsid w:val="00693452"/>
    <w:rsid w:val="00695485"/>
    <w:rsid w:val="00695EB0"/>
    <w:rsid w:val="006A08EF"/>
    <w:rsid w:val="006A0EAD"/>
    <w:rsid w:val="006A1CDC"/>
    <w:rsid w:val="006A2235"/>
    <w:rsid w:val="006A72DD"/>
    <w:rsid w:val="006B37CD"/>
    <w:rsid w:val="006B3FE3"/>
    <w:rsid w:val="006B4303"/>
    <w:rsid w:val="006B74E9"/>
    <w:rsid w:val="006D410B"/>
    <w:rsid w:val="006D4EDF"/>
    <w:rsid w:val="006D5C39"/>
    <w:rsid w:val="006D6120"/>
    <w:rsid w:val="006E30BD"/>
    <w:rsid w:val="006E316C"/>
    <w:rsid w:val="006E68ED"/>
    <w:rsid w:val="006E7EC7"/>
    <w:rsid w:val="006F402E"/>
    <w:rsid w:val="006F5216"/>
    <w:rsid w:val="006F5622"/>
    <w:rsid w:val="007012A3"/>
    <w:rsid w:val="00703898"/>
    <w:rsid w:val="00712415"/>
    <w:rsid w:val="00716022"/>
    <w:rsid w:val="007228ED"/>
    <w:rsid w:val="0072387B"/>
    <w:rsid w:val="007265E6"/>
    <w:rsid w:val="00727DFC"/>
    <w:rsid w:val="00732410"/>
    <w:rsid w:val="00736B48"/>
    <w:rsid w:val="0073768B"/>
    <w:rsid w:val="007379FA"/>
    <w:rsid w:val="00741E20"/>
    <w:rsid w:val="007420C3"/>
    <w:rsid w:val="00742847"/>
    <w:rsid w:val="007445AD"/>
    <w:rsid w:val="00751E8A"/>
    <w:rsid w:val="007520E0"/>
    <w:rsid w:val="0075633D"/>
    <w:rsid w:val="00757044"/>
    <w:rsid w:val="007605CE"/>
    <w:rsid w:val="007610EA"/>
    <w:rsid w:val="007627F4"/>
    <w:rsid w:val="0076451E"/>
    <w:rsid w:val="0077246F"/>
    <w:rsid w:val="00777276"/>
    <w:rsid w:val="0078416E"/>
    <w:rsid w:val="0078450D"/>
    <w:rsid w:val="007909A0"/>
    <w:rsid w:val="00792D3D"/>
    <w:rsid w:val="00793E85"/>
    <w:rsid w:val="007940F3"/>
    <w:rsid w:val="007A44AB"/>
    <w:rsid w:val="007A4EE3"/>
    <w:rsid w:val="007A55B2"/>
    <w:rsid w:val="007A72FF"/>
    <w:rsid w:val="007B30A7"/>
    <w:rsid w:val="007B5DE7"/>
    <w:rsid w:val="007C0822"/>
    <w:rsid w:val="007C6E32"/>
    <w:rsid w:val="007D3ADA"/>
    <w:rsid w:val="007D4CDE"/>
    <w:rsid w:val="007D69DB"/>
    <w:rsid w:val="007D77DA"/>
    <w:rsid w:val="007E11B5"/>
    <w:rsid w:val="007E140C"/>
    <w:rsid w:val="007E3DFB"/>
    <w:rsid w:val="007E5BFE"/>
    <w:rsid w:val="007E71DE"/>
    <w:rsid w:val="007F1544"/>
    <w:rsid w:val="007F1567"/>
    <w:rsid w:val="007F322C"/>
    <w:rsid w:val="007F4716"/>
    <w:rsid w:val="007F65ED"/>
    <w:rsid w:val="008067E7"/>
    <w:rsid w:val="00806EBD"/>
    <w:rsid w:val="00811CFF"/>
    <w:rsid w:val="00820081"/>
    <w:rsid w:val="00821E59"/>
    <w:rsid w:val="008234F3"/>
    <w:rsid w:val="0082655B"/>
    <w:rsid w:val="00826754"/>
    <w:rsid w:val="008273F3"/>
    <w:rsid w:val="00831C57"/>
    <w:rsid w:val="00832AA5"/>
    <w:rsid w:val="00837982"/>
    <w:rsid w:val="00841A18"/>
    <w:rsid w:val="00847FA6"/>
    <w:rsid w:val="00853099"/>
    <w:rsid w:val="008549ED"/>
    <w:rsid w:val="00855332"/>
    <w:rsid w:val="00861FB1"/>
    <w:rsid w:val="008621FC"/>
    <w:rsid w:val="008637D5"/>
    <w:rsid w:val="00865C32"/>
    <w:rsid w:val="00870CB1"/>
    <w:rsid w:val="008758A1"/>
    <w:rsid w:val="0088511B"/>
    <w:rsid w:val="008861F6"/>
    <w:rsid w:val="00886380"/>
    <w:rsid w:val="00886E20"/>
    <w:rsid w:val="008903CB"/>
    <w:rsid w:val="00893B9A"/>
    <w:rsid w:val="008945F2"/>
    <w:rsid w:val="00897907"/>
    <w:rsid w:val="008A26B8"/>
    <w:rsid w:val="008A452F"/>
    <w:rsid w:val="008A5765"/>
    <w:rsid w:val="008A5842"/>
    <w:rsid w:val="008B0A80"/>
    <w:rsid w:val="008B38C0"/>
    <w:rsid w:val="008B4073"/>
    <w:rsid w:val="008C0849"/>
    <w:rsid w:val="008C1178"/>
    <w:rsid w:val="008C6098"/>
    <w:rsid w:val="008D3806"/>
    <w:rsid w:val="008D6F88"/>
    <w:rsid w:val="008D7B78"/>
    <w:rsid w:val="008E1F75"/>
    <w:rsid w:val="008E7331"/>
    <w:rsid w:val="008F0DFA"/>
    <w:rsid w:val="008F4E7A"/>
    <w:rsid w:val="008F5F79"/>
    <w:rsid w:val="008F7B70"/>
    <w:rsid w:val="009003B3"/>
    <w:rsid w:val="00900657"/>
    <w:rsid w:val="00902AC3"/>
    <w:rsid w:val="009155A3"/>
    <w:rsid w:val="00916563"/>
    <w:rsid w:val="0092078F"/>
    <w:rsid w:val="009222C0"/>
    <w:rsid w:val="00926389"/>
    <w:rsid w:val="0093176A"/>
    <w:rsid w:val="00931B25"/>
    <w:rsid w:val="00932C0A"/>
    <w:rsid w:val="00934475"/>
    <w:rsid w:val="00940BA0"/>
    <w:rsid w:val="0094200D"/>
    <w:rsid w:val="00944293"/>
    <w:rsid w:val="00944F00"/>
    <w:rsid w:val="009450FC"/>
    <w:rsid w:val="00946401"/>
    <w:rsid w:val="00947BC0"/>
    <w:rsid w:val="009606AA"/>
    <w:rsid w:val="009620A2"/>
    <w:rsid w:val="00962837"/>
    <w:rsid w:val="009632B0"/>
    <w:rsid w:val="00963A6E"/>
    <w:rsid w:val="00966329"/>
    <w:rsid w:val="009672F1"/>
    <w:rsid w:val="00974546"/>
    <w:rsid w:val="00977EFD"/>
    <w:rsid w:val="00981E2B"/>
    <w:rsid w:val="00982016"/>
    <w:rsid w:val="00982BD5"/>
    <w:rsid w:val="00983021"/>
    <w:rsid w:val="00987DA0"/>
    <w:rsid w:val="00990899"/>
    <w:rsid w:val="00995B4B"/>
    <w:rsid w:val="009A07D9"/>
    <w:rsid w:val="009B11CE"/>
    <w:rsid w:val="009B3575"/>
    <w:rsid w:val="009B409F"/>
    <w:rsid w:val="009C0E53"/>
    <w:rsid w:val="009C10D5"/>
    <w:rsid w:val="009C2D28"/>
    <w:rsid w:val="009C45EF"/>
    <w:rsid w:val="009D4909"/>
    <w:rsid w:val="009D5E59"/>
    <w:rsid w:val="009D61C8"/>
    <w:rsid w:val="009E3788"/>
    <w:rsid w:val="009E555C"/>
    <w:rsid w:val="009F22A5"/>
    <w:rsid w:val="009F2896"/>
    <w:rsid w:val="009F5C0D"/>
    <w:rsid w:val="009F6C90"/>
    <w:rsid w:val="00A02082"/>
    <w:rsid w:val="00A04876"/>
    <w:rsid w:val="00A04CDF"/>
    <w:rsid w:val="00A1019F"/>
    <w:rsid w:val="00A11270"/>
    <w:rsid w:val="00A1710C"/>
    <w:rsid w:val="00A20C19"/>
    <w:rsid w:val="00A21342"/>
    <w:rsid w:val="00A25CF7"/>
    <w:rsid w:val="00A27A31"/>
    <w:rsid w:val="00A34BD6"/>
    <w:rsid w:val="00A36C76"/>
    <w:rsid w:val="00A37FDA"/>
    <w:rsid w:val="00A41963"/>
    <w:rsid w:val="00A42C97"/>
    <w:rsid w:val="00A463F8"/>
    <w:rsid w:val="00A46BEE"/>
    <w:rsid w:val="00A47106"/>
    <w:rsid w:val="00A47186"/>
    <w:rsid w:val="00A472F6"/>
    <w:rsid w:val="00A510A1"/>
    <w:rsid w:val="00A52927"/>
    <w:rsid w:val="00A55345"/>
    <w:rsid w:val="00A57D33"/>
    <w:rsid w:val="00A64501"/>
    <w:rsid w:val="00A64B10"/>
    <w:rsid w:val="00A64B46"/>
    <w:rsid w:val="00A64E10"/>
    <w:rsid w:val="00A66130"/>
    <w:rsid w:val="00A66EE8"/>
    <w:rsid w:val="00A671E7"/>
    <w:rsid w:val="00A67223"/>
    <w:rsid w:val="00A67C2B"/>
    <w:rsid w:val="00A708E9"/>
    <w:rsid w:val="00A766CF"/>
    <w:rsid w:val="00A770E8"/>
    <w:rsid w:val="00A80D72"/>
    <w:rsid w:val="00A826B9"/>
    <w:rsid w:val="00A828EE"/>
    <w:rsid w:val="00A840DD"/>
    <w:rsid w:val="00A84CFA"/>
    <w:rsid w:val="00A859D0"/>
    <w:rsid w:val="00A85DE5"/>
    <w:rsid w:val="00A861A1"/>
    <w:rsid w:val="00A86646"/>
    <w:rsid w:val="00A93A59"/>
    <w:rsid w:val="00A94974"/>
    <w:rsid w:val="00A949D6"/>
    <w:rsid w:val="00A960BE"/>
    <w:rsid w:val="00A96F7B"/>
    <w:rsid w:val="00AA2C20"/>
    <w:rsid w:val="00AA3B61"/>
    <w:rsid w:val="00AA3D03"/>
    <w:rsid w:val="00AA5E74"/>
    <w:rsid w:val="00AA6E3D"/>
    <w:rsid w:val="00AB1BFB"/>
    <w:rsid w:val="00AB2424"/>
    <w:rsid w:val="00AB74C9"/>
    <w:rsid w:val="00AC0333"/>
    <w:rsid w:val="00AC168D"/>
    <w:rsid w:val="00AC1877"/>
    <w:rsid w:val="00AC3541"/>
    <w:rsid w:val="00AC47B3"/>
    <w:rsid w:val="00AC4A35"/>
    <w:rsid w:val="00AC5352"/>
    <w:rsid w:val="00AD1B1D"/>
    <w:rsid w:val="00AD3820"/>
    <w:rsid w:val="00AD51CD"/>
    <w:rsid w:val="00AE1071"/>
    <w:rsid w:val="00AE29C4"/>
    <w:rsid w:val="00AE477D"/>
    <w:rsid w:val="00AF0813"/>
    <w:rsid w:val="00AF1984"/>
    <w:rsid w:val="00AF7FE3"/>
    <w:rsid w:val="00B001E2"/>
    <w:rsid w:val="00B0236D"/>
    <w:rsid w:val="00B02800"/>
    <w:rsid w:val="00B02863"/>
    <w:rsid w:val="00B077F6"/>
    <w:rsid w:val="00B15A8C"/>
    <w:rsid w:val="00B173CA"/>
    <w:rsid w:val="00B17D59"/>
    <w:rsid w:val="00B21EA3"/>
    <w:rsid w:val="00B23815"/>
    <w:rsid w:val="00B2489B"/>
    <w:rsid w:val="00B2491E"/>
    <w:rsid w:val="00B27EAF"/>
    <w:rsid w:val="00B31409"/>
    <w:rsid w:val="00B324F8"/>
    <w:rsid w:val="00B345EE"/>
    <w:rsid w:val="00B35B35"/>
    <w:rsid w:val="00B45109"/>
    <w:rsid w:val="00B459E5"/>
    <w:rsid w:val="00B47DD4"/>
    <w:rsid w:val="00B50B51"/>
    <w:rsid w:val="00B539E7"/>
    <w:rsid w:val="00B55923"/>
    <w:rsid w:val="00B576D4"/>
    <w:rsid w:val="00B63FA2"/>
    <w:rsid w:val="00B7168C"/>
    <w:rsid w:val="00B71DF1"/>
    <w:rsid w:val="00B7307F"/>
    <w:rsid w:val="00B76463"/>
    <w:rsid w:val="00B774AD"/>
    <w:rsid w:val="00B7794C"/>
    <w:rsid w:val="00B80D29"/>
    <w:rsid w:val="00B83B1C"/>
    <w:rsid w:val="00B84E5C"/>
    <w:rsid w:val="00B86100"/>
    <w:rsid w:val="00B867BE"/>
    <w:rsid w:val="00B87C8E"/>
    <w:rsid w:val="00B913DE"/>
    <w:rsid w:val="00B95458"/>
    <w:rsid w:val="00B95D44"/>
    <w:rsid w:val="00BB05BB"/>
    <w:rsid w:val="00BB2784"/>
    <w:rsid w:val="00BC20A4"/>
    <w:rsid w:val="00BC49F4"/>
    <w:rsid w:val="00BD2D9F"/>
    <w:rsid w:val="00BE4423"/>
    <w:rsid w:val="00BE592F"/>
    <w:rsid w:val="00BE5E44"/>
    <w:rsid w:val="00BF09F6"/>
    <w:rsid w:val="00BF1447"/>
    <w:rsid w:val="00BF1F15"/>
    <w:rsid w:val="00BF4F3B"/>
    <w:rsid w:val="00BF541A"/>
    <w:rsid w:val="00C0031B"/>
    <w:rsid w:val="00C0084D"/>
    <w:rsid w:val="00C0506B"/>
    <w:rsid w:val="00C05137"/>
    <w:rsid w:val="00C06A97"/>
    <w:rsid w:val="00C071FB"/>
    <w:rsid w:val="00C15153"/>
    <w:rsid w:val="00C16B97"/>
    <w:rsid w:val="00C17418"/>
    <w:rsid w:val="00C2195D"/>
    <w:rsid w:val="00C22E13"/>
    <w:rsid w:val="00C33F3D"/>
    <w:rsid w:val="00C35563"/>
    <w:rsid w:val="00C41CD2"/>
    <w:rsid w:val="00C43A6D"/>
    <w:rsid w:val="00C43F3B"/>
    <w:rsid w:val="00C464C5"/>
    <w:rsid w:val="00C47729"/>
    <w:rsid w:val="00C52FB6"/>
    <w:rsid w:val="00C5437A"/>
    <w:rsid w:val="00C55614"/>
    <w:rsid w:val="00C60FFC"/>
    <w:rsid w:val="00C6357D"/>
    <w:rsid w:val="00C736F5"/>
    <w:rsid w:val="00C75E31"/>
    <w:rsid w:val="00C762A2"/>
    <w:rsid w:val="00C77F85"/>
    <w:rsid w:val="00C80BF6"/>
    <w:rsid w:val="00C81EF7"/>
    <w:rsid w:val="00C82457"/>
    <w:rsid w:val="00C82A7E"/>
    <w:rsid w:val="00C86C19"/>
    <w:rsid w:val="00C919CD"/>
    <w:rsid w:val="00C95442"/>
    <w:rsid w:val="00C96BF2"/>
    <w:rsid w:val="00CA1ADC"/>
    <w:rsid w:val="00CA5076"/>
    <w:rsid w:val="00CA78AF"/>
    <w:rsid w:val="00CB14B4"/>
    <w:rsid w:val="00CB6086"/>
    <w:rsid w:val="00CB6203"/>
    <w:rsid w:val="00CC2653"/>
    <w:rsid w:val="00CC3C19"/>
    <w:rsid w:val="00CD27A0"/>
    <w:rsid w:val="00CD3CD9"/>
    <w:rsid w:val="00CD645E"/>
    <w:rsid w:val="00CD7A90"/>
    <w:rsid w:val="00CE19FC"/>
    <w:rsid w:val="00CE2131"/>
    <w:rsid w:val="00CE455B"/>
    <w:rsid w:val="00CF0C4F"/>
    <w:rsid w:val="00CF461B"/>
    <w:rsid w:val="00CF5375"/>
    <w:rsid w:val="00D02065"/>
    <w:rsid w:val="00D02771"/>
    <w:rsid w:val="00D03054"/>
    <w:rsid w:val="00D05507"/>
    <w:rsid w:val="00D1570C"/>
    <w:rsid w:val="00D17A15"/>
    <w:rsid w:val="00D2399F"/>
    <w:rsid w:val="00D258D7"/>
    <w:rsid w:val="00D306A1"/>
    <w:rsid w:val="00D30ADB"/>
    <w:rsid w:val="00D33899"/>
    <w:rsid w:val="00D33E90"/>
    <w:rsid w:val="00D358CA"/>
    <w:rsid w:val="00D40E54"/>
    <w:rsid w:val="00D40F1B"/>
    <w:rsid w:val="00D4340E"/>
    <w:rsid w:val="00D45B85"/>
    <w:rsid w:val="00D463D4"/>
    <w:rsid w:val="00D55507"/>
    <w:rsid w:val="00D55CCD"/>
    <w:rsid w:val="00D57C24"/>
    <w:rsid w:val="00D634C3"/>
    <w:rsid w:val="00D64392"/>
    <w:rsid w:val="00D6626A"/>
    <w:rsid w:val="00D716DC"/>
    <w:rsid w:val="00D74290"/>
    <w:rsid w:val="00D76C23"/>
    <w:rsid w:val="00D76FEA"/>
    <w:rsid w:val="00D82587"/>
    <w:rsid w:val="00D864DC"/>
    <w:rsid w:val="00D94B64"/>
    <w:rsid w:val="00D9547D"/>
    <w:rsid w:val="00D96704"/>
    <w:rsid w:val="00D97509"/>
    <w:rsid w:val="00DA1454"/>
    <w:rsid w:val="00DA2173"/>
    <w:rsid w:val="00DA2AA8"/>
    <w:rsid w:val="00DA3FD2"/>
    <w:rsid w:val="00DA48BD"/>
    <w:rsid w:val="00DA6C7C"/>
    <w:rsid w:val="00DA7999"/>
    <w:rsid w:val="00DB1DDD"/>
    <w:rsid w:val="00DB56EE"/>
    <w:rsid w:val="00DB6FDC"/>
    <w:rsid w:val="00DB7B8C"/>
    <w:rsid w:val="00DC16CB"/>
    <w:rsid w:val="00DC2071"/>
    <w:rsid w:val="00DC3030"/>
    <w:rsid w:val="00DC3725"/>
    <w:rsid w:val="00DD0FDA"/>
    <w:rsid w:val="00DD495C"/>
    <w:rsid w:val="00DD4CE0"/>
    <w:rsid w:val="00DD58CC"/>
    <w:rsid w:val="00DE1C6E"/>
    <w:rsid w:val="00DE3BD9"/>
    <w:rsid w:val="00DE5091"/>
    <w:rsid w:val="00DF2043"/>
    <w:rsid w:val="00DF22DC"/>
    <w:rsid w:val="00DF2633"/>
    <w:rsid w:val="00DF3631"/>
    <w:rsid w:val="00DF4021"/>
    <w:rsid w:val="00DF50F1"/>
    <w:rsid w:val="00E00273"/>
    <w:rsid w:val="00E1061F"/>
    <w:rsid w:val="00E118D0"/>
    <w:rsid w:val="00E1298B"/>
    <w:rsid w:val="00E1390A"/>
    <w:rsid w:val="00E15F7E"/>
    <w:rsid w:val="00E17EE9"/>
    <w:rsid w:val="00E215F5"/>
    <w:rsid w:val="00E22D16"/>
    <w:rsid w:val="00E25194"/>
    <w:rsid w:val="00E26D1D"/>
    <w:rsid w:val="00E31CF8"/>
    <w:rsid w:val="00E33A98"/>
    <w:rsid w:val="00E34A60"/>
    <w:rsid w:val="00E34FF6"/>
    <w:rsid w:val="00E35088"/>
    <w:rsid w:val="00E35FAB"/>
    <w:rsid w:val="00E3663A"/>
    <w:rsid w:val="00E3767E"/>
    <w:rsid w:val="00E4072A"/>
    <w:rsid w:val="00E424E5"/>
    <w:rsid w:val="00E42A3A"/>
    <w:rsid w:val="00E43BF7"/>
    <w:rsid w:val="00E47758"/>
    <w:rsid w:val="00E54CED"/>
    <w:rsid w:val="00E57A71"/>
    <w:rsid w:val="00E601A5"/>
    <w:rsid w:val="00E60411"/>
    <w:rsid w:val="00E610CA"/>
    <w:rsid w:val="00E621B6"/>
    <w:rsid w:val="00E634EC"/>
    <w:rsid w:val="00E70A97"/>
    <w:rsid w:val="00E768FF"/>
    <w:rsid w:val="00E76F8E"/>
    <w:rsid w:val="00E83475"/>
    <w:rsid w:val="00E84152"/>
    <w:rsid w:val="00E86A37"/>
    <w:rsid w:val="00EA3A6F"/>
    <w:rsid w:val="00EA3FD1"/>
    <w:rsid w:val="00EA551F"/>
    <w:rsid w:val="00EA6EDF"/>
    <w:rsid w:val="00EB02A3"/>
    <w:rsid w:val="00EB212E"/>
    <w:rsid w:val="00EB2DB4"/>
    <w:rsid w:val="00EB6F0E"/>
    <w:rsid w:val="00EB790F"/>
    <w:rsid w:val="00EC5D23"/>
    <w:rsid w:val="00EC7A17"/>
    <w:rsid w:val="00EC7F94"/>
    <w:rsid w:val="00ED2D94"/>
    <w:rsid w:val="00EE5EB6"/>
    <w:rsid w:val="00EE5F7D"/>
    <w:rsid w:val="00EE7493"/>
    <w:rsid w:val="00EE7C5E"/>
    <w:rsid w:val="00EF3965"/>
    <w:rsid w:val="00EF4CA2"/>
    <w:rsid w:val="00EF6747"/>
    <w:rsid w:val="00F00629"/>
    <w:rsid w:val="00F04059"/>
    <w:rsid w:val="00F1001A"/>
    <w:rsid w:val="00F1224F"/>
    <w:rsid w:val="00F124EA"/>
    <w:rsid w:val="00F2313C"/>
    <w:rsid w:val="00F237FC"/>
    <w:rsid w:val="00F241DA"/>
    <w:rsid w:val="00F25DAE"/>
    <w:rsid w:val="00F26386"/>
    <w:rsid w:val="00F30A51"/>
    <w:rsid w:val="00F3256D"/>
    <w:rsid w:val="00F33721"/>
    <w:rsid w:val="00F355A8"/>
    <w:rsid w:val="00F3654C"/>
    <w:rsid w:val="00F4037E"/>
    <w:rsid w:val="00F42B61"/>
    <w:rsid w:val="00F42D42"/>
    <w:rsid w:val="00F42D6C"/>
    <w:rsid w:val="00F454F6"/>
    <w:rsid w:val="00F45944"/>
    <w:rsid w:val="00F51A78"/>
    <w:rsid w:val="00F51E30"/>
    <w:rsid w:val="00F551B1"/>
    <w:rsid w:val="00F563CE"/>
    <w:rsid w:val="00F5650D"/>
    <w:rsid w:val="00F56A69"/>
    <w:rsid w:val="00F66BBF"/>
    <w:rsid w:val="00F716E7"/>
    <w:rsid w:val="00F71EEF"/>
    <w:rsid w:val="00F72D66"/>
    <w:rsid w:val="00F73B43"/>
    <w:rsid w:val="00F7686C"/>
    <w:rsid w:val="00F80589"/>
    <w:rsid w:val="00F807D8"/>
    <w:rsid w:val="00F80E75"/>
    <w:rsid w:val="00F81CB9"/>
    <w:rsid w:val="00F83866"/>
    <w:rsid w:val="00F84B75"/>
    <w:rsid w:val="00F86F2B"/>
    <w:rsid w:val="00F931AA"/>
    <w:rsid w:val="00F937D7"/>
    <w:rsid w:val="00F95D31"/>
    <w:rsid w:val="00FA0805"/>
    <w:rsid w:val="00FA0B70"/>
    <w:rsid w:val="00FA11D8"/>
    <w:rsid w:val="00FA2648"/>
    <w:rsid w:val="00FA29BD"/>
    <w:rsid w:val="00FA29F3"/>
    <w:rsid w:val="00FA2C0C"/>
    <w:rsid w:val="00FA6D33"/>
    <w:rsid w:val="00FA7AE9"/>
    <w:rsid w:val="00FB0116"/>
    <w:rsid w:val="00FB3D75"/>
    <w:rsid w:val="00FB575E"/>
    <w:rsid w:val="00FB699E"/>
    <w:rsid w:val="00FC06B8"/>
    <w:rsid w:val="00FC09E0"/>
    <w:rsid w:val="00FC2742"/>
    <w:rsid w:val="00FC2D0E"/>
    <w:rsid w:val="00FC3419"/>
    <w:rsid w:val="00FC5AB3"/>
    <w:rsid w:val="00FD1E66"/>
    <w:rsid w:val="00FD29E0"/>
    <w:rsid w:val="00FD3CD5"/>
    <w:rsid w:val="00FD3DA2"/>
    <w:rsid w:val="00FD6B59"/>
    <w:rsid w:val="00FE0BEA"/>
    <w:rsid w:val="00FE1199"/>
    <w:rsid w:val="00FE5CB2"/>
    <w:rsid w:val="00FE77F9"/>
    <w:rsid w:val="00FF4C1A"/>
    <w:rsid w:val="2C7A1DC3"/>
    <w:rsid w:val="47281185"/>
    <w:rsid w:val="537C7F93"/>
    <w:rsid w:val="57827CE0"/>
    <w:rsid w:val="57E29EAB"/>
    <w:rsid w:val="650D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table" w:styleId="4">
    <w:name w:val="Table Grid"/>
    <w:basedOn w:val="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5942</Words>
  <Characters>1269</Characters>
  <Lines>10</Lines>
  <Paragraphs>14</Paragraphs>
  <TotalTime>6</TotalTime>
  <ScaleCrop>false</ScaleCrop>
  <LinksUpToDate>false</LinksUpToDate>
  <CharactersWithSpaces>7197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2021-06-09T17:38:00Z</dcterms:created>
  <dc:creator>WHD</dc:creator>
  <cp:lastModifiedBy>论文</cp:lastModifiedBy>
  <dcterms:modified xsi:type="dcterms:W3CDTF">2023-11-03T16:50:34Z</dcterms:modified>
  <cp:revision>969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