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5"/>
        <w:tblW w:w="4895" w:type="pct"/>
        <w:tblInd w:w="0" w:type="dxa"/>
        <w:tblLayout w:type="fixed"/>
        <w:tblCellMar>
          <w:top w:w="15" w:type="dxa"/>
          <w:left w:w="15" w:type="dxa"/>
          <w:bottom w:w="15" w:type="dxa"/>
          <w:right w:w="15" w:type="dxa"/>
        </w:tblCellMar>
      </w:tblPr>
      <w:tblGrid>
        <w:gridCol w:w="1121"/>
        <w:gridCol w:w="1283"/>
        <w:gridCol w:w="1998"/>
        <w:gridCol w:w="2843"/>
        <w:gridCol w:w="916"/>
      </w:tblGrid>
      <w:tr>
        <w:tblPrEx>
          <w:tblCellMar>
            <w:top w:w="15" w:type="dxa"/>
            <w:left w:w="15" w:type="dxa"/>
            <w:bottom w:w="15" w:type="dxa"/>
            <w:right w:w="15" w:type="dxa"/>
          </w:tblCellMar>
        </w:tblPrEx>
        <w:trPr>
          <w:trHeight w:val="844" w:hRule="atLeast"/>
        </w:trPr>
        <w:tc>
          <w:tcPr>
            <w:tcW w:w="5000" w:type="pct"/>
            <w:gridSpan w:val="5"/>
            <w:tcBorders>
              <w:top w:val="single" w:color="000000" w:sz="12" w:space="0"/>
              <w:left w:val="single" w:color="000000" w:sz="12" w:space="0"/>
              <w:right w:val="single" w:color="000000" w:sz="12" w:space="0"/>
            </w:tcBorders>
            <w:shd w:val="clear" w:color="auto" w:fill="auto"/>
            <w:vAlign w:val="center"/>
          </w:tcPr>
          <w:p>
            <w:pPr>
              <w:widowControl/>
              <w:jc w:val="center"/>
              <w:textAlignment w:val="center"/>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2</w:t>
            </w:r>
            <w:r>
              <w:rPr>
                <w:rFonts w:ascii="仿宋" w:hAnsi="仿宋" w:eastAsia="仿宋" w:cs="仿宋"/>
                <w:b/>
                <w:color w:val="000000"/>
                <w:kern w:val="0"/>
                <w:sz w:val="32"/>
                <w:szCs w:val="32"/>
                <w:lang w:bidi="ar"/>
              </w:rPr>
              <w:t>021</w:t>
            </w:r>
            <w:r>
              <w:rPr>
                <w:rFonts w:hint="eastAsia" w:ascii="仿宋" w:hAnsi="仿宋" w:eastAsia="仿宋" w:cs="仿宋"/>
                <w:b/>
                <w:color w:val="000000"/>
                <w:kern w:val="0"/>
                <w:sz w:val="32"/>
                <w:szCs w:val="32"/>
                <w:lang w:bidi="ar"/>
              </w:rPr>
              <w:t>年寒假名校进名企项目行程示例</w:t>
            </w:r>
          </w:p>
          <w:p>
            <w:pPr>
              <w:widowControl/>
              <w:jc w:val="center"/>
              <w:textAlignment w:val="center"/>
              <w:rPr>
                <w:rFonts w:hint="eastAsia" w:ascii="仿宋" w:hAnsi="仿宋" w:eastAsia="仿宋" w:cs="仿宋"/>
                <w:b/>
                <w:color w:val="000000"/>
                <w:kern w:val="0"/>
                <w:sz w:val="32"/>
                <w:szCs w:val="32"/>
                <w:lang w:eastAsia="zh-CN" w:bidi="ar"/>
              </w:rPr>
            </w:pPr>
            <w:r>
              <w:rPr>
                <w:rFonts w:hint="eastAsia" w:ascii="仿宋" w:hAnsi="仿宋" w:eastAsia="仿宋" w:cs="仿宋"/>
                <w:b/>
                <w:color w:val="000000"/>
                <w:kern w:val="0"/>
                <w:sz w:val="32"/>
                <w:szCs w:val="32"/>
                <w:lang w:eastAsia="zh-CN" w:bidi="ar"/>
              </w:rPr>
              <w:t>（</w:t>
            </w:r>
            <w:r>
              <w:rPr>
                <w:rFonts w:hint="eastAsia" w:ascii="仿宋" w:hAnsi="仿宋" w:eastAsia="仿宋" w:cs="仿宋"/>
                <w:b/>
                <w:color w:val="000000"/>
                <w:kern w:val="0"/>
                <w:sz w:val="32"/>
                <w:szCs w:val="32"/>
                <w:lang w:val="en-US" w:eastAsia="zh-CN" w:bidi="ar"/>
              </w:rPr>
              <w:t>实际行程或</w:t>
            </w:r>
            <w:bookmarkStart w:id="0" w:name="_GoBack"/>
            <w:bookmarkEnd w:id="0"/>
            <w:r>
              <w:rPr>
                <w:rFonts w:hint="eastAsia" w:ascii="仿宋" w:hAnsi="仿宋" w:eastAsia="仿宋" w:cs="仿宋"/>
                <w:b/>
                <w:color w:val="000000"/>
                <w:kern w:val="0"/>
                <w:sz w:val="32"/>
                <w:szCs w:val="32"/>
                <w:lang w:val="en-US" w:eastAsia="zh-CN" w:bidi="ar"/>
              </w:rPr>
              <w:t>有微调</w:t>
            </w:r>
            <w:r>
              <w:rPr>
                <w:rFonts w:hint="eastAsia" w:ascii="仿宋" w:hAnsi="仿宋" w:eastAsia="仿宋" w:cs="仿宋"/>
                <w:b/>
                <w:color w:val="000000"/>
                <w:kern w:val="0"/>
                <w:sz w:val="32"/>
                <w:szCs w:val="32"/>
                <w:lang w:eastAsia="zh-CN" w:bidi="ar"/>
              </w:rPr>
              <w:t>）</w:t>
            </w:r>
          </w:p>
        </w:tc>
      </w:tr>
      <w:tr>
        <w:tblPrEx>
          <w:tblCellMar>
            <w:top w:w="15" w:type="dxa"/>
            <w:left w:w="15" w:type="dxa"/>
            <w:bottom w:w="15" w:type="dxa"/>
            <w:right w:w="15" w:type="dxa"/>
          </w:tblCellMar>
        </w:tblPrEx>
        <w:trPr>
          <w:trHeight w:val="508" w:hRule="atLeast"/>
        </w:trPr>
        <w:tc>
          <w:tcPr>
            <w:tcW w:w="686" w:type="pct"/>
            <w:tcBorders>
              <w:top w:val="single" w:color="000000" w:sz="12" w:space="0"/>
              <w:left w:val="single" w:color="000000" w:sz="12"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日期</w:t>
            </w:r>
          </w:p>
        </w:tc>
        <w:tc>
          <w:tcPr>
            <w:tcW w:w="786" w:type="pct"/>
            <w:tcBorders>
              <w:top w:val="single" w:color="000000" w:sz="12"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企业名称</w:t>
            </w:r>
          </w:p>
        </w:tc>
        <w:tc>
          <w:tcPr>
            <w:tcW w:w="1224" w:type="pct"/>
            <w:tcBorders>
              <w:top w:val="single" w:color="000000" w:sz="12"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实训导师</w:t>
            </w:r>
          </w:p>
        </w:tc>
        <w:tc>
          <w:tcPr>
            <w:tcW w:w="1741" w:type="pct"/>
            <w:tcBorders>
              <w:top w:val="single" w:color="000000" w:sz="12"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实训主题</w:t>
            </w:r>
          </w:p>
        </w:tc>
        <w:tc>
          <w:tcPr>
            <w:tcW w:w="561" w:type="pct"/>
            <w:tcBorders>
              <w:top w:val="single" w:color="000000" w:sz="12" w:space="0"/>
              <w:left w:val="single" w:color="000000" w:sz="4" w:space="0"/>
              <w:right w:val="single" w:color="000000" w:sz="12"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地点</w:t>
            </w:r>
          </w:p>
        </w:tc>
      </w:tr>
      <w:tr>
        <w:tblPrEx>
          <w:tblCellMar>
            <w:top w:w="15" w:type="dxa"/>
            <w:left w:w="15" w:type="dxa"/>
            <w:bottom w:w="15" w:type="dxa"/>
            <w:right w:w="15" w:type="dxa"/>
          </w:tblCellMar>
        </w:tblPrEx>
        <w:trPr>
          <w:trHeight w:val="763" w:hRule="atLeast"/>
        </w:trPr>
        <w:tc>
          <w:tcPr>
            <w:tcW w:w="686" w:type="pc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第一天</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阿里巴巴</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上海赴外文化交流中心主任——陈超</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名校进名企开营仪式</w:t>
            </w:r>
          </w:p>
        </w:tc>
        <w:tc>
          <w:tcPr>
            <w:tcW w:w="561" w:type="pct"/>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szCs w:val="21"/>
              </w:rPr>
              <w:t>杭州</w:t>
            </w:r>
          </w:p>
        </w:tc>
      </w:tr>
      <w:tr>
        <w:tblPrEx>
          <w:tblCellMar>
            <w:top w:w="15" w:type="dxa"/>
            <w:left w:w="15" w:type="dxa"/>
            <w:bottom w:w="15" w:type="dxa"/>
            <w:right w:w="15" w:type="dxa"/>
          </w:tblCellMar>
        </w:tblPrEx>
        <w:trPr>
          <w:trHeight w:val="2648" w:hRule="atLeast"/>
        </w:trPr>
        <w:tc>
          <w:tcPr>
            <w:tcW w:w="686" w:type="pct"/>
            <w:tcBorders>
              <w:top w:val="single" w:color="000000" w:sz="4" w:space="0"/>
              <w:left w:val="single" w:color="000000" w:sz="12"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第二天</w:t>
            </w:r>
          </w:p>
        </w:tc>
        <w:tc>
          <w:tcPr>
            <w:tcW w:w="786" w:type="pc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阿里巴巴</w:t>
            </w:r>
          </w:p>
        </w:tc>
        <w:tc>
          <w:tcPr>
            <w:tcW w:w="1224"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阿里巴巴新商业学院副院长——正雄</w:t>
            </w:r>
          </w:p>
          <w:p>
            <w:pPr>
              <w:widowControl/>
              <w:jc w:val="left"/>
              <w:textAlignment w:val="center"/>
              <w:rPr>
                <w:rFonts w:ascii="仿宋" w:hAnsi="仿宋" w:eastAsia="仿宋" w:cs="仿宋"/>
                <w:color w:val="000000"/>
                <w:szCs w:val="21"/>
              </w:rPr>
            </w:pP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阿里生态数据学院运营专家——弘人</w:t>
            </w:r>
          </w:p>
          <w:p>
            <w:pPr>
              <w:widowControl/>
              <w:jc w:val="left"/>
              <w:textAlignment w:val="center"/>
              <w:rPr>
                <w:rFonts w:ascii="仿宋" w:hAnsi="仿宋" w:eastAsia="仿宋" w:cs="仿宋"/>
                <w:color w:val="000000"/>
                <w:szCs w:val="21"/>
              </w:rPr>
            </w:pP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淘宝大学培训专家</w:t>
            </w:r>
          </w:p>
          <w:p>
            <w:pPr>
              <w:widowControl/>
              <w:ind w:firstLine="630" w:firstLineChars="300"/>
              <w:jc w:val="left"/>
              <w:textAlignment w:val="center"/>
              <w:rPr>
                <w:rFonts w:ascii="仿宋" w:hAnsi="仿宋" w:eastAsia="仿宋" w:cs="仿宋"/>
                <w:color w:val="000000"/>
                <w:szCs w:val="21"/>
              </w:rPr>
            </w:pPr>
            <w:r>
              <w:rPr>
                <w:rFonts w:hint="eastAsia" w:ascii="仿宋" w:hAnsi="仿宋" w:eastAsia="仿宋" w:cs="仿宋"/>
                <w:color w:val="000000"/>
                <w:szCs w:val="21"/>
              </w:rPr>
              <w:t>——大圣</w:t>
            </w:r>
          </w:p>
        </w:tc>
        <w:tc>
          <w:tcPr>
            <w:tcW w:w="1741" w:type="pc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szCs w:val="21"/>
              </w:rPr>
              <w:t>走入名企主题一：阿里巴巴，学习电商创业</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1.参访阿里总部西溪园区</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现场教学：班主任引导学生对阿里文化进行探索体验与战略发展学习</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2.“网红餐厅”——阿里员工食堂就餐体验</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3.课程分享：</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正雄老师：《阿里巴巴数字经济与未来商业趋势》</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弘人老师：商业数据产品的发展趋势和方向，以及阿里电商生态圈</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大圣老师：《电商发展前世今生与数字化电商创业》</w:t>
            </w:r>
          </w:p>
        </w:tc>
        <w:tc>
          <w:tcPr>
            <w:tcW w:w="561" w:type="pct"/>
            <w:tcBorders>
              <w:top w:val="single" w:color="000000" w:sz="4" w:space="0"/>
              <w:left w:val="single" w:color="000000" w:sz="4" w:space="0"/>
              <w:right w:val="single" w:color="000000" w:sz="12" w:space="0"/>
            </w:tcBorders>
            <w:shd w:val="clear" w:color="auto" w:fill="auto"/>
            <w:vAlign w:val="center"/>
          </w:tcPr>
          <w:p>
            <w:pPr>
              <w:jc w:val="left"/>
              <w:rPr>
                <w:rFonts w:ascii="仿宋" w:hAnsi="仿宋" w:eastAsia="仿宋" w:cs="仿宋"/>
                <w:color w:val="000000"/>
                <w:szCs w:val="21"/>
              </w:rPr>
            </w:pPr>
            <w:r>
              <w:rPr>
                <w:rFonts w:hint="eastAsia" w:ascii="仿宋" w:hAnsi="仿宋" w:eastAsia="仿宋" w:cs="仿宋"/>
                <w:color w:val="000000"/>
                <w:szCs w:val="21"/>
              </w:rPr>
              <w:t>杭州市余杭区文一西路969号阿里巴巴西溪园区</w:t>
            </w:r>
          </w:p>
        </w:tc>
      </w:tr>
      <w:tr>
        <w:tblPrEx>
          <w:tblCellMar>
            <w:top w:w="15" w:type="dxa"/>
            <w:left w:w="15" w:type="dxa"/>
            <w:bottom w:w="15" w:type="dxa"/>
            <w:right w:w="15" w:type="dxa"/>
          </w:tblCellMar>
        </w:tblPrEx>
        <w:trPr>
          <w:trHeight w:val="1842" w:hRule="atLeast"/>
        </w:trPr>
        <w:tc>
          <w:tcPr>
            <w:tcW w:w="686" w:type="pct"/>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第三天</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腾讯</w:t>
            </w:r>
          </w:p>
        </w:tc>
        <w:tc>
          <w:tcPr>
            <w:tcW w:w="122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腾讯创新创业中心经理——陆畅</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szCs w:val="21"/>
              </w:rPr>
              <w:t>走入名企主题二：腾讯，学习创新创业</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1.参访腾讯创新创业中心</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2.解析腾讯创新项目</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3.带领学生了解创业</w:t>
            </w:r>
          </w:p>
        </w:tc>
        <w:tc>
          <w:tcPr>
            <w:tcW w:w="561" w:type="pct"/>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仿宋" w:hAnsi="仿宋" w:eastAsia="仿宋" w:cs="仿宋"/>
                <w:color w:val="000000"/>
                <w:szCs w:val="21"/>
              </w:rPr>
            </w:pPr>
            <w:r>
              <w:rPr>
                <w:rFonts w:hint="eastAsia" w:ascii="仿宋" w:hAnsi="仿宋" w:eastAsia="仿宋" w:cs="仿宋"/>
                <w:color w:val="000000"/>
                <w:szCs w:val="21"/>
              </w:rPr>
              <w:t>上海市杨浦区国定东路创新创业街区翔殷路999号</w:t>
            </w:r>
          </w:p>
        </w:tc>
      </w:tr>
      <w:tr>
        <w:tblPrEx>
          <w:tblCellMar>
            <w:top w:w="15" w:type="dxa"/>
            <w:left w:w="15" w:type="dxa"/>
            <w:bottom w:w="15" w:type="dxa"/>
            <w:right w:w="15" w:type="dxa"/>
          </w:tblCellMar>
        </w:tblPrEx>
        <w:trPr>
          <w:trHeight w:val="1049" w:hRule="atLeast"/>
        </w:trPr>
        <w:tc>
          <w:tcPr>
            <w:tcW w:w="686" w:type="pct"/>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第四天</w:t>
            </w:r>
          </w:p>
        </w:tc>
        <w:tc>
          <w:tcPr>
            <w:tcW w:w="7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腾讯</w:t>
            </w:r>
          </w:p>
        </w:tc>
        <w:tc>
          <w:tcPr>
            <w:tcW w:w="122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上海赴外文化交流中心主任——陈超</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b/>
                <w:bCs/>
                <w:color w:val="000000"/>
                <w:szCs w:val="21"/>
              </w:rPr>
              <w:t>走入名企主题二：腾讯，学习投资理财</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陈超主任讲解投资之道的思路</w:t>
            </w:r>
          </w:p>
        </w:tc>
        <w:tc>
          <w:tcPr>
            <w:tcW w:w="561" w:type="pct"/>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仿宋" w:hAnsi="仿宋" w:eastAsia="仿宋" w:cs="仿宋"/>
                <w:color w:val="000000"/>
                <w:szCs w:val="21"/>
              </w:rPr>
            </w:pPr>
            <w:r>
              <w:rPr>
                <w:rFonts w:hint="eastAsia" w:ascii="仿宋" w:hAnsi="仿宋" w:eastAsia="仿宋" w:cs="仿宋"/>
                <w:color w:val="000000"/>
                <w:szCs w:val="21"/>
              </w:rPr>
              <w:t>上海市杨浦区国定东路创新创业街区翔殷路999号</w:t>
            </w:r>
          </w:p>
        </w:tc>
      </w:tr>
      <w:tr>
        <w:tblPrEx>
          <w:tblCellMar>
            <w:top w:w="15" w:type="dxa"/>
            <w:left w:w="15" w:type="dxa"/>
            <w:bottom w:w="15" w:type="dxa"/>
            <w:right w:w="15" w:type="dxa"/>
          </w:tblCellMar>
        </w:tblPrEx>
        <w:trPr>
          <w:trHeight w:val="508" w:hRule="atLeast"/>
        </w:trPr>
        <w:tc>
          <w:tcPr>
            <w:tcW w:w="686"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22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szCs w:val="21"/>
              </w:rPr>
              <w:t>学生商业思维训练一：</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投资之道课题分组训练</w:t>
            </w:r>
          </w:p>
        </w:tc>
        <w:tc>
          <w:tcPr>
            <w:tcW w:w="561" w:type="pct"/>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仿宋" w:hAnsi="仿宋" w:eastAsia="仿宋" w:cs="仿宋"/>
                <w:color w:val="000000"/>
                <w:szCs w:val="21"/>
              </w:rPr>
            </w:pPr>
          </w:p>
        </w:tc>
      </w:tr>
      <w:tr>
        <w:tblPrEx>
          <w:tblCellMar>
            <w:top w:w="15" w:type="dxa"/>
            <w:left w:w="15" w:type="dxa"/>
            <w:bottom w:w="15" w:type="dxa"/>
            <w:right w:w="15" w:type="dxa"/>
          </w:tblCellMar>
        </w:tblPrEx>
        <w:trPr>
          <w:trHeight w:val="3425" w:hRule="atLeast"/>
        </w:trPr>
        <w:tc>
          <w:tcPr>
            <w:tcW w:w="686" w:type="pct"/>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第五天</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星站</w:t>
            </w:r>
            <w:r>
              <w:rPr>
                <w:rFonts w:ascii="仿宋" w:hAnsi="仿宋" w:eastAsia="仿宋" w:cs="仿宋"/>
                <w:color w:val="000000"/>
                <w:szCs w:val="21"/>
              </w:rPr>
              <w:t>TV</w:t>
            </w:r>
          </w:p>
        </w:tc>
        <w:tc>
          <w:tcPr>
            <w:tcW w:w="122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快手短视频官方指定合作伙伴星站创始人——朱峰</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创始人朱峰因创立“星站TV”，入选“2017福布斯亚洲30位30岁以下杰出人才”榜单</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快手短视频官方指定合作伙伴星站高级营销师——丁胜</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快手短视频官方指定合作伙伴星站HR经理——菲菲</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szCs w:val="21"/>
              </w:rPr>
              <w:t>学生职业技能提升：</w:t>
            </w:r>
          </w:p>
          <w:p>
            <w:pPr>
              <w:widowControl/>
              <w:numPr>
                <w:ilvl w:val="0"/>
                <w:numId w:val="1"/>
              </w:numPr>
              <w:jc w:val="left"/>
              <w:textAlignment w:val="center"/>
              <w:rPr>
                <w:rFonts w:ascii="仿宋" w:hAnsi="仿宋" w:eastAsia="仿宋" w:cs="仿宋"/>
                <w:color w:val="000000"/>
                <w:szCs w:val="21"/>
              </w:rPr>
            </w:pPr>
            <w:r>
              <w:rPr>
                <w:rFonts w:hint="eastAsia" w:ascii="仿宋" w:hAnsi="仿宋" w:eastAsia="仿宋" w:cs="仿宋"/>
                <w:color w:val="000000"/>
                <w:szCs w:val="21"/>
              </w:rPr>
              <w:t xml:space="preserve">朱峰老师：星站介绍，短视频平台与快手的功能介绍 </w:t>
            </w:r>
          </w:p>
          <w:p>
            <w:pPr>
              <w:widowControl/>
              <w:numPr>
                <w:ilvl w:val="0"/>
                <w:numId w:val="1"/>
              </w:numPr>
              <w:jc w:val="left"/>
              <w:textAlignment w:val="center"/>
              <w:rPr>
                <w:rFonts w:ascii="仿宋" w:hAnsi="仿宋" w:eastAsia="仿宋" w:cs="仿宋"/>
                <w:color w:val="000000"/>
                <w:szCs w:val="21"/>
              </w:rPr>
            </w:pPr>
            <w:r>
              <w:rPr>
                <w:rFonts w:hint="eastAsia" w:ascii="仿宋" w:hAnsi="仿宋" w:eastAsia="仿宋" w:cs="仿宋"/>
                <w:color w:val="000000"/>
                <w:szCs w:val="21"/>
              </w:rPr>
              <w:t xml:space="preserve">丁胜老师：基础版视频后期剪辑制作课程  </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3.菲菲老师：培训结果输出测试+分组面试</w:t>
            </w:r>
          </w:p>
        </w:tc>
        <w:tc>
          <w:tcPr>
            <w:tcW w:w="561" w:type="pct"/>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仿宋" w:hAnsi="仿宋" w:eastAsia="仿宋" w:cs="仿宋"/>
                <w:color w:val="000000"/>
                <w:szCs w:val="21"/>
              </w:rPr>
            </w:pPr>
            <w:r>
              <w:rPr>
                <w:rFonts w:hint="eastAsia" w:ascii="仿宋" w:hAnsi="仿宋" w:eastAsia="仿宋" w:cs="仿宋"/>
                <w:color w:val="000000"/>
                <w:szCs w:val="21"/>
              </w:rPr>
              <w:t>上海市杨浦区贵阳路398号文通国际广场21楼</w:t>
            </w:r>
          </w:p>
        </w:tc>
      </w:tr>
      <w:tr>
        <w:tblPrEx>
          <w:tblCellMar>
            <w:top w:w="15" w:type="dxa"/>
            <w:left w:w="15" w:type="dxa"/>
            <w:bottom w:w="15" w:type="dxa"/>
            <w:right w:w="15" w:type="dxa"/>
          </w:tblCellMar>
        </w:tblPrEx>
        <w:trPr>
          <w:trHeight w:val="1477" w:hRule="atLeast"/>
        </w:trPr>
        <w:tc>
          <w:tcPr>
            <w:tcW w:w="686" w:type="pct"/>
            <w:vMerge w:val="restart"/>
            <w:tcBorders>
              <w:top w:val="single" w:color="000000" w:sz="4" w:space="0"/>
              <w:left w:val="single" w:color="000000" w:sz="12"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第六天</w:t>
            </w:r>
          </w:p>
        </w:tc>
        <w:tc>
          <w:tcPr>
            <w:tcW w:w="786" w:type="pct"/>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上海赴外</w:t>
            </w:r>
          </w:p>
        </w:tc>
        <w:tc>
          <w:tcPr>
            <w:tcW w:w="122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中国商飞公司——海外专家、ARJ21项目主任师朱务学</w:t>
            </w:r>
          </w:p>
        </w:tc>
        <w:tc>
          <w:tcPr>
            <w:tcW w:w="174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val="en-US" w:eastAsia="zh-CN"/>
              </w:rPr>
            </w:pPr>
            <w:r>
              <w:rPr>
                <w:rFonts w:hint="eastAsia" w:ascii="仿宋" w:hAnsi="仿宋" w:eastAsia="仿宋" w:cs="仿宋"/>
                <w:b/>
                <w:bCs/>
                <w:color w:val="000000"/>
                <w:szCs w:val="21"/>
              </w:rPr>
              <w:t>走近名企主题一：</w:t>
            </w:r>
            <w:r>
              <w:rPr>
                <w:rFonts w:hint="eastAsia" w:ascii="仿宋" w:hAnsi="仿宋" w:eastAsia="仿宋" w:cs="仿宋"/>
                <w:b/>
                <w:bCs/>
                <w:color w:val="000000"/>
                <w:szCs w:val="21"/>
                <w:lang w:eastAsia="zh-CN"/>
              </w:rPr>
              <w:t>中国商飞</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lang w:val="en-US" w:eastAsia="zh-CN"/>
              </w:rPr>
              <w:t>1.</w:t>
            </w:r>
            <w:r>
              <w:rPr>
                <w:rFonts w:hint="eastAsia" w:ascii="仿宋" w:hAnsi="仿宋" w:eastAsia="仿宋" w:cs="仿宋"/>
                <w:color w:val="000000"/>
                <w:szCs w:val="21"/>
              </w:rPr>
              <w:t>中国商用飞机发展历史</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 xml:space="preserve">ARJ21从设计到运营过程介绍     </w:t>
            </w:r>
            <w:r>
              <w:rPr>
                <w:rFonts w:hint="eastAsia" w:ascii="仿宋" w:hAnsi="仿宋" w:eastAsia="仿宋" w:cs="仿宋"/>
                <w:b/>
                <w:bCs/>
                <w:color w:val="000000"/>
                <w:szCs w:val="21"/>
              </w:rPr>
              <w:t xml:space="preserve">  </w:t>
            </w:r>
          </w:p>
        </w:tc>
        <w:tc>
          <w:tcPr>
            <w:tcW w:w="561" w:type="pct"/>
            <w:vMerge w:val="restart"/>
            <w:tcBorders>
              <w:top w:val="single" w:color="000000" w:sz="4" w:space="0"/>
              <w:left w:val="single" w:color="000000" w:sz="4" w:space="0"/>
              <w:right w:val="single" w:color="000000" w:sz="12" w:space="0"/>
            </w:tcBorders>
            <w:shd w:val="clear" w:color="auto" w:fill="auto"/>
            <w:vAlign w:val="center"/>
          </w:tcPr>
          <w:p>
            <w:pPr>
              <w:jc w:val="left"/>
              <w:rPr>
                <w:rFonts w:ascii="仿宋" w:hAnsi="仿宋" w:eastAsia="仿宋" w:cs="仿宋"/>
                <w:color w:val="000000"/>
                <w:szCs w:val="21"/>
              </w:rPr>
            </w:pPr>
            <w:r>
              <w:rPr>
                <w:rFonts w:hint="eastAsia" w:ascii="仿宋" w:hAnsi="仿宋" w:eastAsia="仿宋" w:cs="仿宋"/>
                <w:color w:val="000000"/>
                <w:szCs w:val="21"/>
              </w:rPr>
              <w:t>上海赴外</w:t>
            </w:r>
          </w:p>
        </w:tc>
      </w:tr>
      <w:tr>
        <w:tblPrEx>
          <w:tblCellMar>
            <w:top w:w="15" w:type="dxa"/>
            <w:left w:w="15" w:type="dxa"/>
            <w:bottom w:w="15" w:type="dxa"/>
            <w:right w:w="15" w:type="dxa"/>
          </w:tblCellMar>
        </w:tblPrEx>
        <w:trPr>
          <w:trHeight w:val="1377" w:hRule="atLeast"/>
        </w:trPr>
        <w:tc>
          <w:tcPr>
            <w:tcW w:w="686" w:type="pct"/>
            <w:vMerge w:val="continue"/>
            <w:tcBorders>
              <w:left w:val="single" w:color="000000" w:sz="12"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78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rPr>
            </w:pPr>
          </w:p>
        </w:tc>
        <w:tc>
          <w:tcPr>
            <w:tcW w:w="122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微软（中国）中国有限公司——数字化首席架构师伍斌</w:t>
            </w:r>
          </w:p>
          <w:p>
            <w:pPr>
              <w:widowControl/>
              <w:jc w:val="left"/>
              <w:textAlignment w:val="center"/>
              <w:rPr>
                <w:rFonts w:hint="eastAsia" w:ascii="仿宋" w:hAnsi="仿宋" w:eastAsia="仿宋" w:cs="仿宋"/>
                <w:color w:val="000000"/>
                <w:szCs w:val="21"/>
              </w:rPr>
            </w:pPr>
          </w:p>
        </w:tc>
        <w:tc>
          <w:tcPr>
            <w:tcW w:w="174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szCs w:val="21"/>
              </w:rPr>
              <w:t>走近名企主题</w:t>
            </w:r>
            <w:r>
              <w:rPr>
                <w:rFonts w:hint="eastAsia" w:ascii="仿宋" w:hAnsi="仿宋" w:eastAsia="仿宋" w:cs="仿宋"/>
                <w:b/>
                <w:bCs/>
                <w:color w:val="000000"/>
                <w:szCs w:val="21"/>
                <w:lang w:eastAsia="zh-CN"/>
              </w:rPr>
              <w:t>二</w:t>
            </w:r>
            <w:r>
              <w:rPr>
                <w:rFonts w:hint="eastAsia" w:ascii="仿宋" w:hAnsi="仿宋" w:eastAsia="仿宋" w:cs="仿宋"/>
                <w:b/>
                <w:bCs/>
                <w:color w:val="000000"/>
                <w:szCs w:val="21"/>
              </w:rPr>
              <w:t>：微软（中国）</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1.工业4.0时代的数字化转型</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2.微软（中国）企业招聘面试指导与面试题讲解</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3.微软人需要具备的品质和能力</w:t>
            </w:r>
          </w:p>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4.制作简历的技巧</w:t>
            </w:r>
          </w:p>
        </w:tc>
        <w:tc>
          <w:tcPr>
            <w:tcW w:w="561" w:type="pct"/>
            <w:vMerge w:val="continue"/>
            <w:tcBorders>
              <w:left w:val="single" w:color="000000" w:sz="4" w:space="0"/>
              <w:bottom w:val="single" w:color="000000" w:sz="4" w:space="0"/>
              <w:right w:val="single" w:color="000000" w:sz="12" w:space="0"/>
            </w:tcBorders>
            <w:shd w:val="clear" w:color="auto" w:fill="auto"/>
            <w:vAlign w:val="center"/>
          </w:tcPr>
          <w:p>
            <w:pPr>
              <w:jc w:val="left"/>
              <w:rPr>
                <w:rFonts w:hint="eastAsia" w:ascii="仿宋" w:hAnsi="仿宋" w:eastAsia="仿宋" w:cs="仿宋"/>
                <w:color w:val="000000"/>
                <w:szCs w:val="21"/>
              </w:rPr>
            </w:pPr>
          </w:p>
        </w:tc>
      </w:tr>
      <w:tr>
        <w:tblPrEx>
          <w:tblCellMar>
            <w:top w:w="15" w:type="dxa"/>
            <w:left w:w="15" w:type="dxa"/>
            <w:bottom w:w="15" w:type="dxa"/>
            <w:right w:w="15" w:type="dxa"/>
          </w:tblCellMar>
        </w:tblPrEx>
        <w:trPr>
          <w:trHeight w:val="1377" w:hRule="atLeast"/>
        </w:trPr>
        <w:tc>
          <w:tcPr>
            <w:tcW w:w="686" w:type="pct"/>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第七天</w:t>
            </w:r>
          </w:p>
        </w:tc>
        <w:tc>
          <w:tcPr>
            <w:tcW w:w="786" w:type="pc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上海赴外</w:t>
            </w:r>
          </w:p>
        </w:tc>
        <w:tc>
          <w:tcPr>
            <w:tcW w:w="122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中财招商投资集团</w:t>
            </w:r>
          </w:p>
          <w:p>
            <w:pPr>
              <w:widowControl/>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——中财金融（广州）CEO陈定一</w:t>
            </w:r>
          </w:p>
        </w:tc>
        <w:tc>
          <w:tcPr>
            <w:tcW w:w="174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szCs w:val="21"/>
              </w:rPr>
              <w:t>学生商业思维训练二：</w:t>
            </w:r>
          </w:p>
          <w:p>
            <w:pPr>
              <w:widowControl/>
              <w:numPr>
                <w:ilvl w:val="0"/>
                <w:numId w:val="2"/>
              </w:numPr>
              <w:jc w:val="left"/>
              <w:textAlignment w:val="center"/>
              <w:rPr>
                <w:rFonts w:ascii="仿宋" w:hAnsi="仿宋" w:eastAsia="仿宋" w:cs="仿宋"/>
                <w:color w:val="000000"/>
                <w:szCs w:val="21"/>
              </w:rPr>
            </w:pPr>
            <w:r>
              <w:rPr>
                <w:rFonts w:hint="eastAsia" w:ascii="仿宋" w:hAnsi="仿宋" w:eastAsia="仿宋" w:cs="仿宋"/>
                <w:color w:val="000000"/>
                <w:szCs w:val="21"/>
              </w:rPr>
              <w:t>投资之道课题每组项目路演，作为项目操盘团队进行项目介绍</w:t>
            </w:r>
          </w:p>
          <w:p>
            <w:pPr>
              <w:widowControl/>
              <w:numPr>
                <w:ilvl w:val="0"/>
                <w:numId w:val="2"/>
              </w:numPr>
              <w:jc w:val="left"/>
              <w:textAlignment w:val="center"/>
              <w:rPr>
                <w:rFonts w:ascii="仿宋" w:hAnsi="仿宋" w:eastAsia="仿宋" w:cs="仿宋"/>
                <w:color w:val="000000"/>
                <w:szCs w:val="21"/>
              </w:rPr>
            </w:pPr>
            <w:r>
              <w:rPr>
                <w:rFonts w:hint="eastAsia" w:ascii="仿宋" w:hAnsi="仿宋" w:eastAsia="仿宋" w:cs="仿宋"/>
                <w:color w:val="000000"/>
                <w:szCs w:val="21"/>
              </w:rPr>
              <w:t>全组接受投资人陈定一提问</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3.主题讲座投资之道</w:t>
            </w:r>
          </w:p>
          <w:p>
            <w:pPr>
              <w:widowControl/>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4.高级投资人对学生们的职业选择指导</w:t>
            </w:r>
          </w:p>
        </w:tc>
        <w:tc>
          <w:tcPr>
            <w:tcW w:w="561" w:type="pct"/>
            <w:tcBorders>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上海赴外</w:t>
            </w:r>
          </w:p>
        </w:tc>
      </w:tr>
      <w:tr>
        <w:tblPrEx>
          <w:tblCellMar>
            <w:top w:w="15" w:type="dxa"/>
            <w:left w:w="15" w:type="dxa"/>
            <w:bottom w:w="15" w:type="dxa"/>
            <w:right w:w="15" w:type="dxa"/>
          </w:tblCellMar>
        </w:tblPrEx>
        <w:trPr>
          <w:trHeight w:val="901" w:hRule="atLeast"/>
        </w:trPr>
        <w:tc>
          <w:tcPr>
            <w:tcW w:w="686" w:type="pct"/>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第八天</w:t>
            </w:r>
          </w:p>
        </w:tc>
        <w:tc>
          <w:tcPr>
            <w:tcW w:w="4313" w:type="pct"/>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lang w:bidi="ar"/>
              </w:rPr>
              <w:t>海昌海洋公园</w:t>
            </w:r>
          </w:p>
        </w:tc>
      </w:tr>
      <w:tr>
        <w:tblPrEx>
          <w:tblCellMar>
            <w:top w:w="15" w:type="dxa"/>
            <w:left w:w="15" w:type="dxa"/>
            <w:bottom w:w="15" w:type="dxa"/>
            <w:right w:w="15" w:type="dxa"/>
          </w:tblCellMar>
        </w:tblPrEx>
        <w:trPr>
          <w:trHeight w:val="1528" w:hRule="atLeast"/>
        </w:trPr>
        <w:tc>
          <w:tcPr>
            <w:tcW w:w="686" w:type="pct"/>
            <w:vMerge w:val="restart"/>
            <w:tcBorders>
              <w:top w:val="single" w:color="000000" w:sz="4" w:space="0"/>
              <w:left w:val="single" w:color="000000" w:sz="12" w:space="0"/>
              <w:right w:val="single" w:color="000000" w:sz="4" w:space="0"/>
            </w:tcBorders>
            <w:shd w:val="clear" w:color="auto" w:fill="auto"/>
            <w:vAlign w:val="center"/>
          </w:tcPr>
          <w:p>
            <w:pPr>
              <w:ind w:firstLine="105" w:firstLineChars="50"/>
              <w:rPr>
                <w:rFonts w:ascii="仿宋" w:hAnsi="仿宋" w:eastAsia="仿宋" w:cs="仿宋"/>
                <w:color w:val="000000"/>
                <w:szCs w:val="21"/>
              </w:rPr>
            </w:pPr>
            <w:r>
              <w:rPr>
                <w:rFonts w:hint="eastAsia" w:ascii="仿宋" w:hAnsi="仿宋" w:eastAsia="仿宋" w:cs="仿宋"/>
                <w:color w:val="000000"/>
                <w:szCs w:val="21"/>
              </w:rPr>
              <w:t>第九天</w:t>
            </w:r>
          </w:p>
        </w:tc>
        <w:tc>
          <w:tcPr>
            <w:tcW w:w="786" w:type="pct"/>
            <w:vMerge w:val="restart"/>
            <w:tcBorders>
              <w:top w:val="single" w:color="000000" w:sz="4" w:space="0"/>
              <w:left w:val="single" w:color="000000" w:sz="4" w:space="0"/>
              <w:right w:val="single" w:color="000000" w:sz="4" w:space="0"/>
            </w:tcBorders>
            <w:shd w:val="clear" w:color="auto" w:fill="auto"/>
            <w:vAlign w:val="center"/>
          </w:tcPr>
          <w:p>
            <w:pPr>
              <w:widowControl/>
              <w:ind w:firstLine="210" w:firstLineChars="100"/>
              <w:textAlignment w:val="center"/>
              <w:rPr>
                <w:rFonts w:ascii="仿宋" w:hAnsi="仿宋" w:eastAsia="仿宋" w:cs="仿宋"/>
                <w:color w:val="000000"/>
                <w:szCs w:val="21"/>
              </w:rPr>
            </w:pPr>
            <w:r>
              <w:rPr>
                <w:rFonts w:hint="eastAsia" w:ascii="仿宋" w:hAnsi="仿宋" w:eastAsia="仿宋" w:cs="仿宋"/>
                <w:color w:val="000000"/>
                <w:szCs w:val="21"/>
              </w:rPr>
              <w:t>上海赴外</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特斯拉（上海）充电桩建设经理——蔡毅仁</w:t>
            </w:r>
          </w:p>
        </w:tc>
        <w:tc>
          <w:tcPr>
            <w:tcW w:w="1741" w:type="pc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szCs w:val="21"/>
              </w:rPr>
              <w:t>走近名企主题</w:t>
            </w:r>
            <w:r>
              <w:rPr>
                <w:rFonts w:hint="eastAsia" w:ascii="仿宋" w:hAnsi="仿宋" w:eastAsia="仿宋" w:cs="仿宋"/>
                <w:b/>
                <w:bCs/>
                <w:color w:val="000000"/>
                <w:szCs w:val="21"/>
                <w:lang w:eastAsia="zh-CN"/>
              </w:rPr>
              <w:t>三</w:t>
            </w:r>
            <w:r>
              <w:rPr>
                <w:rFonts w:hint="eastAsia" w:ascii="仿宋" w:hAnsi="仿宋" w:eastAsia="仿宋" w:cs="仿宋"/>
                <w:b/>
                <w:bCs/>
                <w:color w:val="000000"/>
                <w:szCs w:val="21"/>
              </w:rPr>
              <w:t>：特斯拉</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1.主题分享：个人成长历程及特斯拉选人用人的标准</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 xml:space="preserve">2.现场公开面试训练：每组代表，一对一面试模拟  </w:t>
            </w:r>
          </w:p>
        </w:tc>
        <w:tc>
          <w:tcPr>
            <w:tcW w:w="561" w:type="pct"/>
            <w:vMerge w:val="restart"/>
            <w:tcBorders>
              <w:top w:val="single" w:color="000000" w:sz="4" w:space="0"/>
              <w:left w:val="single" w:color="000000" w:sz="4" w:space="0"/>
              <w:right w:val="single" w:color="000000" w:sz="12"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上海赴外</w:t>
            </w:r>
          </w:p>
        </w:tc>
      </w:tr>
      <w:tr>
        <w:tblPrEx>
          <w:tblCellMar>
            <w:top w:w="15" w:type="dxa"/>
            <w:left w:w="15" w:type="dxa"/>
            <w:bottom w:w="15" w:type="dxa"/>
            <w:right w:w="15" w:type="dxa"/>
          </w:tblCellMar>
        </w:tblPrEx>
        <w:trPr>
          <w:trHeight w:val="1541" w:hRule="atLeast"/>
        </w:trPr>
        <w:tc>
          <w:tcPr>
            <w:tcW w:w="686" w:type="pct"/>
            <w:vMerge w:val="continue"/>
            <w:tcBorders>
              <w:left w:val="single" w:color="000000" w:sz="12"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华为技术有限公司</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——南部非洲地区部代表处CFO杜菲</w:t>
            </w:r>
          </w:p>
        </w:tc>
        <w:tc>
          <w:tcPr>
            <w:tcW w:w="1741" w:type="pc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szCs w:val="21"/>
              </w:rPr>
              <w:t>走近名企主题</w:t>
            </w:r>
            <w:r>
              <w:rPr>
                <w:rFonts w:hint="eastAsia" w:ascii="仿宋" w:hAnsi="仿宋" w:eastAsia="仿宋" w:cs="仿宋"/>
                <w:b/>
                <w:bCs/>
                <w:color w:val="000000"/>
                <w:szCs w:val="21"/>
                <w:lang w:eastAsia="zh-CN"/>
              </w:rPr>
              <w:t>四</w:t>
            </w:r>
            <w:r>
              <w:rPr>
                <w:rFonts w:hint="eastAsia" w:ascii="仿宋" w:hAnsi="仿宋" w:eastAsia="仿宋" w:cs="仿宋"/>
                <w:b/>
                <w:bCs/>
                <w:color w:val="000000"/>
                <w:szCs w:val="21"/>
              </w:rPr>
              <w:t>：华为</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1.主题分享：详述华为——时代在召唤</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 xml:space="preserve">2.华为的企业文化和历史使命  </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3.华为面试社招、校招流程介绍与说明</w:t>
            </w:r>
          </w:p>
        </w:tc>
        <w:tc>
          <w:tcPr>
            <w:tcW w:w="561" w:type="pct"/>
            <w:vMerge w:val="continue"/>
            <w:tcBorders>
              <w:left w:val="single" w:color="000000" w:sz="4" w:space="0"/>
              <w:bottom w:val="single" w:color="000000" w:sz="4" w:space="0"/>
              <w:right w:val="single" w:color="000000" w:sz="12" w:space="0"/>
            </w:tcBorders>
            <w:shd w:val="clear" w:color="auto" w:fill="auto"/>
            <w:vAlign w:val="center"/>
          </w:tcPr>
          <w:p>
            <w:pPr>
              <w:jc w:val="left"/>
              <w:rPr>
                <w:rFonts w:ascii="仿宋" w:hAnsi="仿宋" w:eastAsia="仿宋" w:cs="仿宋"/>
                <w:color w:val="000000"/>
                <w:szCs w:val="21"/>
              </w:rPr>
            </w:pPr>
          </w:p>
        </w:tc>
      </w:tr>
      <w:tr>
        <w:tblPrEx>
          <w:tblCellMar>
            <w:top w:w="15" w:type="dxa"/>
            <w:left w:w="15" w:type="dxa"/>
            <w:bottom w:w="15" w:type="dxa"/>
            <w:right w:w="15" w:type="dxa"/>
          </w:tblCellMar>
        </w:tblPrEx>
        <w:trPr>
          <w:trHeight w:val="3851" w:hRule="atLeast"/>
        </w:trPr>
        <w:tc>
          <w:tcPr>
            <w:tcW w:w="686" w:type="pct"/>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第十天</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小i机器人</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华东区域最大的人工智能技术公司小i机器人高级副总裁</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——许弋亚</w:t>
            </w:r>
          </w:p>
          <w:p>
            <w:pPr>
              <w:widowControl/>
              <w:jc w:val="left"/>
              <w:textAlignment w:val="center"/>
              <w:rPr>
                <w:rFonts w:ascii="仿宋" w:hAnsi="仿宋" w:eastAsia="仿宋" w:cs="仿宋"/>
                <w:color w:val="000000"/>
                <w:szCs w:val="21"/>
              </w:rPr>
            </w:pP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小i智慧学堂副校长</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——郁明敏</w:t>
            </w:r>
          </w:p>
        </w:tc>
        <w:tc>
          <w:tcPr>
            <w:tcW w:w="174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b/>
                <w:bCs/>
                <w:color w:val="000000"/>
                <w:szCs w:val="21"/>
              </w:rPr>
              <w:t>走入名企主题三：小i机器人，学习人工智能</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1.参观小i机器人总部展厅，国内唯一一个集中展示智能机器人产业应用的专业性展厅。展厅集智能机器人核心技术和产品应用于一身，展示基于小i机器人云端大脑在智能客服、智能政务、智能实体机器人，智能家居、智能车载等人工智能领域的典型应用，是了解国内外智能机器人产业应用情况的一个窗口</w:t>
            </w:r>
          </w:p>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2.专题分享</w:t>
            </w:r>
          </w:p>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许弋亚老师：深刻解读小i机器人技术的发展历程及未来前景；了解小i机器人技术研发理念</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郁明敏老师：解读小i机器人技术未来应用</w:t>
            </w:r>
          </w:p>
        </w:tc>
        <w:tc>
          <w:tcPr>
            <w:tcW w:w="561" w:type="pct"/>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上海市金沙江西路1555弄383一楼</w:t>
            </w:r>
          </w:p>
        </w:tc>
      </w:tr>
      <w:tr>
        <w:tblPrEx>
          <w:tblCellMar>
            <w:top w:w="15" w:type="dxa"/>
            <w:left w:w="15" w:type="dxa"/>
            <w:bottom w:w="15" w:type="dxa"/>
            <w:right w:w="15" w:type="dxa"/>
          </w:tblCellMar>
        </w:tblPrEx>
        <w:trPr>
          <w:trHeight w:val="2426" w:hRule="atLeast"/>
        </w:trPr>
        <w:tc>
          <w:tcPr>
            <w:tcW w:w="686" w:type="pc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第十一天</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复星集团豫园&amp;BFC外滩金融中心</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上海豫园珠宝时尚集团党委书记&amp;总裁助理——俞琳</w:t>
            </w:r>
          </w:p>
          <w:p>
            <w:pPr>
              <w:widowControl/>
              <w:jc w:val="left"/>
              <w:textAlignment w:val="center"/>
              <w:rPr>
                <w:rFonts w:ascii="仿宋" w:hAnsi="仿宋" w:eastAsia="仿宋" w:cs="仿宋"/>
                <w:color w:val="000000"/>
                <w:szCs w:val="21"/>
              </w:rPr>
            </w:pPr>
          </w:p>
          <w:p>
            <w:pPr>
              <w:widowControl/>
              <w:textAlignment w:val="center"/>
              <w:rPr>
                <w:rFonts w:ascii="仿宋" w:hAnsi="仿宋" w:eastAsia="仿宋" w:cs="仿宋"/>
                <w:color w:val="000000"/>
                <w:szCs w:val="21"/>
              </w:rPr>
            </w:pPr>
            <w:r>
              <w:rPr>
                <w:rFonts w:hint="eastAsia" w:ascii="仿宋" w:hAnsi="仿宋" w:eastAsia="仿宋" w:cs="仿宋"/>
                <w:color w:val="000000"/>
                <w:szCs w:val="21"/>
              </w:rPr>
              <w:t>HR经理——张婷</w:t>
            </w:r>
          </w:p>
        </w:tc>
        <w:tc>
          <w:tcPr>
            <w:tcW w:w="174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szCs w:val="21"/>
              </w:rPr>
              <w:t>走入名企主题四：复星集团，学习传统行业的创新之路</w:t>
            </w: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1.参访豫园商城和BFC外滩金融中心</w:t>
            </w:r>
          </w:p>
          <w:p>
            <w:pPr>
              <w:widowControl/>
              <w:textAlignment w:val="center"/>
              <w:rPr>
                <w:rFonts w:ascii="仿宋" w:hAnsi="仿宋" w:eastAsia="仿宋" w:cs="仿宋"/>
                <w:color w:val="000000"/>
                <w:szCs w:val="21"/>
              </w:rPr>
            </w:pPr>
            <w:r>
              <w:rPr>
                <w:rFonts w:hint="eastAsia" w:ascii="仿宋" w:hAnsi="仿宋" w:eastAsia="仿宋" w:cs="仿宋"/>
                <w:color w:val="000000"/>
                <w:szCs w:val="21"/>
              </w:rPr>
              <w:t>2.俞琳老师：介绍豫园与复星</w:t>
            </w:r>
          </w:p>
          <w:p>
            <w:pPr>
              <w:widowControl/>
              <w:textAlignment w:val="center"/>
              <w:rPr>
                <w:rFonts w:ascii="仿宋" w:hAnsi="仿宋" w:eastAsia="仿宋" w:cs="仿宋"/>
                <w:color w:val="000000"/>
                <w:szCs w:val="21"/>
              </w:rPr>
            </w:pPr>
            <w:r>
              <w:rPr>
                <w:rFonts w:hint="eastAsia" w:ascii="仿宋" w:hAnsi="仿宋" w:eastAsia="仿宋" w:cs="仿宋"/>
                <w:color w:val="000000"/>
                <w:szCs w:val="21"/>
              </w:rPr>
              <w:t>3.张婷老师：重点介绍豫园校招——未来星计划</w:t>
            </w:r>
          </w:p>
        </w:tc>
        <w:tc>
          <w:tcPr>
            <w:tcW w:w="561" w:type="pct"/>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ascii="仿宋" w:hAnsi="仿宋" w:eastAsia="仿宋" w:cs="仿宋"/>
                <w:color w:val="000000"/>
                <w:szCs w:val="21"/>
              </w:rPr>
            </w:pPr>
            <w:r>
              <w:rPr>
                <w:rFonts w:hint="eastAsia" w:ascii="仿宋" w:hAnsi="仿宋" w:eastAsia="仿宋" w:cs="仿宋"/>
                <w:color w:val="000000"/>
                <w:szCs w:val="21"/>
              </w:rPr>
              <w:t>上海市</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黄浦区安仁街132号</w:t>
            </w:r>
          </w:p>
        </w:tc>
      </w:tr>
      <w:tr>
        <w:tblPrEx>
          <w:tblCellMar>
            <w:top w:w="15" w:type="dxa"/>
            <w:left w:w="15" w:type="dxa"/>
            <w:bottom w:w="15" w:type="dxa"/>
            <w:right w:w="15" w:type="dxa"/>
          </w:tblCellMar>
        </w:tblPrEx>
        <w:trPr>
          <w:trHeight w:val="1927" w:hRule="atLeast"/>
        </w:trPr>
        <w:tc>
          <w:tcPr>
            <w:tcW w:w="686" w:type="pct"/>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r>
              <w:rPr>
                <w:rFonts w:hint="eastAsia" w:ascii="仿宋" w:hAnsi="仿宋" w:eastAsia="仿宋" w:cs="仿宋"/>
                <w:color w:val="000000"/>
                <w:szCs w:val="21"/>
              </w:rPr>
              <w:t>第十二天</w:t>
            </w:r>
          </w:p>
        </w:tc>
        <w:tc>
          <w:tcPr>
            <w:tcW w:w="786"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210" w:firstLineChars="100"/>
              <w:textAlignment w:val="center"/>
              <w:rPr>
                <w:rFonts w:ascii="仿宋" w:hAnsi="仿宋" w:eastAsia="仿宋" w:cs="仿宋"/>
                <w:color w:val="000000"/>
                <w:szCs w:val="21"/>
              </w:rPr>
            </w:pPr>
            <w:r>
              <w:rPr>
                <w:rFonts w:hint="eastAsia" w:ascii="仿宋" w:hAnsi="仿宋" w:eastAsia="仿宋" w:cs="仿宋"/>
                <w:color w:val="000000"/>
                <w:szCs w:val="21"/>
              </w:rPr>
              <w:t>上海赴外</w:t>
            </w:r>
          </w:p>
        </w:tc>
        <w:tc>
          <w:tcPr>
            <w:tcW w:w="1224"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Cs w:val="21"/>
              </w:rPr>
            </w:pPr>
            <w:r>
              <w:rPr>
                <w:rFonts w:hint="eastAsia" w:ascii="仿宋" w:hAnsi="仿宋" w:eastAsia="仿宋" w:cs="仿宋"/>
                <w:color w:val="000000"/>
                <w:szCs w:val="21"/>
              </w:rPr>
              <w:t>上海赴外文化交流中心主任——陈超</w:t>
            </w:r>
          </w:p>
        </w:tc>
        <w:tc>
          <w:tcPr>
            <w:tcW w:w="1741"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Cs w:val="21"/>
              </w:rPr>
            </w:pPr>
            <w:r>
              <w:rPr>
                <w:rFonts w:hint="eastAsia" w:ascii="仿宋" w:hAnsi="仿宋" w:eastAsia="仿宋" w:cs="仿宋"/>
                <w:color w:val="000000"/>
                <w:szCs w:val="21"/>
              </w:rPr>
              <w:t>闭营仪式：</w:t>
            </w:r>
          </w:p>
          <w:p>
            <w:pPr>
              <w:jc w:val="left"/>
              <w:textAlignment w:val="center"/>
              <w:rPr>
                <w:rFonts w:ascii="仿宋" w:hAnsi="仿宋" w:eastAsia="仿宋" w:cs="仿宋"/>
                <w:color w:val="000000"/>
                <w:szCs w:val="21"/>
              </w:rPr>
            </w:pPr>
            <w:r>
              <w:rPr>
                <w:rFonts w:hint="eastAsia" w:ascii="仿宋" w:hAnsi="仿宋" w:eastAsia="仿宋" w:cs="仿宋"/>
                <w:color w:val="000000"/>
                <w:szCs w:val="21"/>
              </w:rPr>
              <w:t>1.播放各组视频总结</w:t>
            </w:r>
          </w:p>
          <w:p>
            <w:pPr>
              <w:jc w:val="left"/>
              <w:textAlignment w:val="center"/>
              <w:rPr>
                <w:rFonts w:ascii="仿宋" w:hAnsi="仿宋" w:eastAsia="仿宋" w:cs="仿宋"/>
                <w:color w:val="000000"/>
                <w:szCs w:val="21"/>
              </w:rPr>
            </w:pPr>
            <w:r>
              <w:rPr>
                <w:rFonts w:hint="eastAsia" w:ascii="仿宋" w:hAnsi="仿宋" w:eastAsia="仿宋" w:cs="仿宋"/>
                <w:color w:val="000000"/>
                <w:szCs w:val="21"/>
              </w:rPr>
              <w:t>2.学生代表每小组总结发言</w:t>
            </w:r>
          </w:p>
          <w:p>
            <w:pPr>
              <w:jc w:val="left"/>
              <w:textAlignment w:val="center"/>
              <w:rPr>
                <w:rFonts w:ascii="仿宋" w:hAnsi="仿宋" w:eastAsia="仿宋" w:cs="仿宋"/>
                <w:color w:val="000000"/>
                <w:szCs w:val="21"/>
              </w:rPr>
            </w:pPr>
            <w:r>
              <w:rPr>
                <w:rFonts w:hint="eastAsia" w:ascii="仿宋" w:hAnsi="仿宋" w:eastAsia="仿宋" w:cs="仿宋"/>
                <w:color w:val="000000"/>
                <w:szCs w:val="21"/>
              </w:rPr>
              <w:t>3.带队教师校方代表发言</w:t>
            </w:r>
          </w:p>
          <w:p>
            <w:pPr>
              <w:jc w:val="left"/>
              <w:textAlignment w:val="center"/>
              <w:rPr>
                <w:rFonts w:ascii="仿宋" w:hAnsi="仿宋" w:eastAsia="仿宋" w:cs="仿宋"/>
                <w:color w:val="000000"/>
                <w:szCs w:val="21"/>
              </w:rPr>
            </w:pPr>
            <w:r>
              <w:rPr>
                <w:rFonts w:hint="eastAsia" w:ascii="仿宋" w:hAnsi="仿宋" w:eastAsia="仿宋" w:cs="仿宋"/>
                <w:color w:val="000000"/>
                <w:szCs w:val="21"/>
              </w:rPr>
              <w:t>4.主办方发言总结</w:t>
            </w:r>
          </w:p>
          <w:p>
            <w:pPr>
              <w:jc w:val="left"/>
              <w:textAlignment w:val="center"/>
              <w:rPr>
                <w:rFonts w:ascii="仿宋" w:hAnsi="仿宋" w:eastAsia="仿宋" w:cs="仿宋"/>
                <w:color w:val="000000"/>
                <w:szCs w:val="21"/>
              </w:rPr>
            </w:pPr>
            <w:r>
              <w:rPr>
                <w:rFonts w:hint="eastAsia" w:ascii="仿宋" w:hAnsi="仿宋" w:eastAsia="仿宋" w:cs="仿宋"/>
                <w:color w:val="000000"/>
                <w:szCs w:val="21"/>
              </w:rPr>
              <w:t>5.颁发结业证书</w:t>
            </w:r>
          </w:p>
        </w:tc>
        <w:tc>
          <w:tcPr>
            <w:tcW w:w="561" w:type="pct"/>
            <w:tcBorders>
              <w:top w:val="single" w:color="auto"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上海赴外</w:t>
            </w:r>
          </w:p>
        </w:tc>
      </w:tr>
      <w:tr>
        <w:tblPrEx>
          <w:tblCellMar>
            <w:top w:w="15" w:type="dxa"/>
            <w:left w:w="15" w:type="dxa"/>
            <w:bottom w:w="15" w:type="dxa"/>
            <w:right w:w="15" w:type="dxa"/>
          </w:tblCellMar>
        </w:tblPrEx>
        <w:trPr>
          <w:trHeight w:val="1017" w:hRule="atLeast"/>
        </w:trPr>
        <w:tc>
          <w:tcPr>
            <w:tcW w:w="686" w:type="pct"/>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6" w:type="pct"/>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面试会</w:t>
            </w:r>
          </w:p>
        </w:tc>
        <w:tc>
          <w:tcPr>
            <w:tcW w:w="1224" w:type="pct"/>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腾讯、微软、华为、中国商飞、国投集团、和佳股份、上海赴外、民生证券、中财集团</w:t>
            </w:r>
          </w:p>
        </w:tc>
        <w:tc>
          <w:tcPr>
            <w:tcW w:w="1741" w:type="pct"/>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多家名企现场实习生/全职岗位面试招聘会</w:t>
            </w:r>
          </w:p>
        </w:tc>
        <w:tc>
          <w:tcPr>
            <w:tcW w:w="561" w:type="pct"/>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上海赴外</w:t>
            </w:r>
          </w:p>
        </w:tc>
      </w:tr>
      <w:tr>
        <w:tblPrEx>
          <w:tblCellMar>
            <w:top w:w="15" w:type="dxa"/>
            <w:left w:w="15" w:type="dxa"/>
            <w:bottom w:w="15" w:type="dxa"/>
            <w:right w:w="15" w:type="dxa"/>
          </w:tblCellMar>
        </w:tblPrEx>
        <w:trPr>
          <w:trHeight w:val="574" w:hRule="atLeast"/>
        </w:trPr>
        <w:tc>
          <w:tcPr>
            <w:tcW w:w="5000" w:type="pct"/>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ind w:firstLine="420" w:firstLineChars="200"/>
              <w:jc w:val="left"/>
              <w:textAlignment w:val="center"/>
              <w:rPr>
                <w:rFonts w:hint="eastAsia" w:ascii="仿宋" w:hAnsi="仿宋" w:eastAsia="仿宋" w:cs="仿宋"/>
                <w:b/>
                <w:bCs w:val="0"/>
                <w:color w:val="000000"/>
                <w:kern w:val="0"/>
                <w:szCs w:val="21"/>
                <w:lang w:bidi="ar"/>
              </w:rPr>
            </w:pPr>
            <w:r>
              <w:rPr>
                <w:rFonts w:hint="eastAsia" w:ascii="仿宋" w:hAnsi="仿宋" w:eastAsia="仿宋" w:cs="仿宋"/>
                <w:bCs/>
                <w:color w:val="000000"/>
                <w:kern w:val="0"/>
                <w:szCs w:val="21"/>
                <w:lang w:eastAsia="zh-CN" w:bidi="ar"/>
              </w:rPr>
              <w:t>顺利完成项目后，学生可获得</w:t>
            </w:r>
            <w:r>
              <w:rPr>
                <w:rFonts w:hint="eastAsia" w:ascii="仿宋" w:hAnsi="仿宋" w:eastAsia="仿宋" w:cs="仿宋"/>
                <w:b/>
                <w:bCs w:val="0"/>
                <w:color w:val="000000"/>
                <w:kern w:val="0"/>
                <w:szCs w:val="21"/>
                <w:lang w:eastAsia="zh-CN" w:bidi="ar"/>
              </w:rPr>
              <w:t>上海赴外名校进名企实训证书</w:t>
            </w:r>
            <w:r>
              <w:rPr>
                <w:rFonts w:hint="eastAsia" w:ascii="仿宋" w:hAnsi="仿宋" w:eastAsia="仿宋" w:cs="仿宋"/>
                <w:bCs/>
                <w:color w:val="000000"/>
                <w:kern w:val="0"/>
                <w:szCs w:val="21"/>
                <w:lang w:eastAsia="zh-CN" w:bidi="ar"/>
              </w:rPr>
              <w:t>和</w:t>
            </w:r>
            <w:r>
              <w:rPr>
                <w:rFonts w:hint="eastAsia" w:ascii="仿宋" w:hAnsi="仿宋" w:eastAsia="仿宋" w:cs="仿宋"/>
                <w:b/>
                <w:bCs w:val="0"/>
                <w:color w:val="000000"/>
                <w:kern w:val="0"/>
                <w:szCs w:val="21"/>
                <w:lang w:eastAsia="zh-CN" w:bidi="ar"/>
              </w:rPr>
              <w:t>快手官方认证培训方短视频初级营销师证书</w:t>
            </w:r>
            <w:r>
              <w:rPr>
                <w:rFonts w:hint="eastAsia" w:ascii="仿宋" w:hAnsi="仿宋" w:eastAsia="仿宋" w:cs="仿宋"/>
                <w:bCs/>
                <w:color w:val="000000"/>
                <w:kern w:val="0"/>
                <w:szCs w:val="21"/>
                <w:lang w:eastAsia="zh-CN" w:bidi="ar"/>
              </w:rPr>
              <w:t>；表现优异的学生（</w:t>
            </w:r>
            <w:r>
              <w:rPr>
                <w:rFonts w:hint="eastAsia" w:ascii="仿宋" w:hAnsi="仿宋" w:eastAsia="仿宋" w:cs="仿宋"/>
                <w:bCs/>
                <w:color w:val="000000"/>
                <w:kern w:val="0"/>
                <w:szCs w:val="21"/>
                <w:lang w:val="en-US" w:eastAsia="zh-CN" w:bidi="ar"/>
              </w:rPr>
              <w:t>30%</w:t>
            </w:r>
            <w:r>
              <w:rPr>
                <w:rFonts w:hint="eastAsia" w:ascii="仿宋" w:hAnsi="仿宋" w:eastAsia="仿宋" w:cs="仿宋"/>
                <w:bCs/>
                <w:color w:val="000000"/>
                <w:kern w:val="0"/>
                <w:szCs w:val="21"/>
                <w:lang w:eastAsia="zh-CN" w:bidi="ar"/>
              </w:rPr>
              <w:t>）可获得行程示例中某家参访企业颁发的</w:t>
            </w:r>
            <w:r>
              <w:rPr>
                <w:rFonts w:hint="eastAsia" w:ascii="仿宋" w:hAnsi="仿宋" w:eastAsia="仿宋" w:cs="仿宋"/>
                <w:b/>
                <w:bCs w:val="0"/>
                <w:color w:val="000000"/>
                <w:kern w:val="0"/>
                <w:szCs w:val="21"/>
                <w:lang w:eastAsia="zh-CN" w:bidi="ar"/>
              </w:rPr>
              <w:t>优秀实习生证书</w:t>
            </w:r>
            <w:r>
              <w:rPr>
                <w:rFonts w:hint="eastAsia" w:ascii="仿宋" w:hAnsi="仿宋" w:eastAsia="仿宋" w:cs="仿宋"/>
                <w:bCs/>
                <w:color w:val="000000"/>
                <w:kern w:val="0"/>
                <w:szCs w:val="21"/>
                <w:lang w:eastAsia="zh-CN" w:bidi="ar"/>
              </w:rPr>
              <w:t>。</w:t>
            </w:r>
          </w:p>
          <w:p>
            <w:pPr>
              <w:widowControl/>
              <w:jc w:val="left"/>
              <w:textAlignment w:val="center"/>
              <w:rPr>
                <w:rFonts w:ascii="仿宋" w:hAnsi="仿宋" w:eastAsia="仿宋" w:cs="仿宋"/>
                <w:bCs/>
                <w:color w:val="000000"/>
                <w:kern w:val="0"/>
                <w:szCs w:val="21"/>
                <w:lang w:bidi="ar"/>
              </w:rPr>
            </w:pPr>
            <w:r>
              <w:rPr>
                <w:rFonts w:hint="eastAsia" w:ascii="仿宋" w:hAnsi="仿宋" w:eastAsia="仿宋" w:cs="仿宋"/>
                <w:b/>
                <w:bCs w:val="0"/>
                <w:color w:val="000000"/>
                <w:kern w:val="0"/>
                <w:szCs w:val="21"/>
                <w:lang w:bidi="ar"/>
              </w:rPr>
              <w:t>备注：</w:t>
            </w:r>
            <w:r>
              <w:rPr>
                <w:rFonts w:hint="eastAsia" w:ascii="仿宋" w:hAnsi="仿宋" w:eastAsia="仿宋" w:cs="仿宋"/>
                <w:bCs/>
                <w:color w:val="000000"/>
                <w:kern w:val="0"/>
                <w:szCs w:val="21"/>
                <w:lang w:bidi="ar"/>
              </w:rPr>
              <w:t>受新冠疫情影响，部分企业的参访可能会随着政府或企业自身疫情防控政策的调整而变化。</w:t>
            </w:r>
          </w:p>
          <w:p>
            <w:pPr>
              <w:widowControl/>
              <w:jc w:val="left"/>
              <w:rPr>
                <w:rFonts w:ascii="仿宋" w:hAnsi="仿宋" w:eastAsia="仿宋" w:cs="仿宋"/>
                <w:color w:val="000000"/>
                <w:kern w:val="0"/>
                <w:szCs w:val="21"/>
                <w:lang w:bidi="ar"/>
              </w:rPr>
            </w:pPr>
            <w:r>
              <w:rPr>
                <w:rFonts w:hint="eastAsia" w:ascii="仿宋" w:hAnsi="仿宋" w:eastAsia="仿宋" w:cs="仿宋"/>
                <w:bCs/>
                <w:color w:val="000000"/>
                <w:kern w:val="0"/>
                <w:szCs w:val="21"/>
                <w:lang w:bidi="ar"/>
              </w:rPr>
              <w:t>①</w:t>
            </w:r>
            <w:r>
              <w:rPr>
                <w:rFonts w:hint="eastAsia" w:ascii="仿宋" w:hAnsi="仿宋" w:eastAsia="仿宋" w:cs="仿宋"/>
                <w:b/>
                <w:color w:val="000000"/>
                <w:kern w:val="0"/>
                <w:szCs w:val="21"/>
                <w:lang w:bidi="ar"/>
              </w:rPr>
              <w:t>上海赴外文化交流中心新科技研究院专家顾问团嘉宾名单</w:t>
            </w:r>
            <w:r>
              <w:rPr>
                <w:rFonts w:hint="eastAsia" w:ascii="仿宋" w:hAnsi="仿宋" w:eastAsia="仿宋" w:cs="仿宋"/>
                <w:bCs/>
                <w:color w:val="000000"/>
                <w:kern w:val="0"/>
                <w:szCs w:val="21"/>
                <w:lang w:bidi="ar"/>
              </w:rPr>
              <w:t>：中财招商投资集团中财金融（广州）CEO——陈定一、中国商飞公司海外专家、ARJ21项目主任师——朱务学、微软（中国）数字化首席架构师——伍斌、特斯拉（上海）充电桩建设经理——蔡毅仁、华为技术有限公司南部非洲地区部代表处CFO——杜菲、</w:t>
            </w:r>
            <w:r>
              <w:rPr>
                <w:rFonts w:hint="eastAsia" w:ascii="仿宋" w:hAnsi="仿宋" w:eastAsia="仿宋" w:cs="仿宋"/>
                <w:color w:val="000000"/>
                <w:kern w:val="0"/>
                <w:szCs w:val="21"/>
                <w:lang w:bidi="ar"/>
              </w:rPr>
              <w:t>中欧商学院院长助理、管委会成员</w:t>
            </w:r>
            <w:r>
              <w:rPr>
                <w:rFonts w:hint="eastAsia" w:ascii="仿宋" w:hAnsi="仿宋" w:eastAsia="仿宋" w:cs="仿宋"/>
                <w:bCs/>
                <w:color w:val="000000"/>
                <w:kern w:val="0"/>
                <w:szCs w:val="21"/>
                <w:lang w:bidi="ar"/>
              </w:rPr>
              <w:t>——</w:t>
            </w:r>
            <w:r>
              <w:rPr>
                <w:rFonts w:hint="eastAsia" w:ascii="仿宋" w:hAnsi="仿宋" w:eastAsia="仿宋" w:cs="仿宋"/>
                <w:color w:val="000000"/>
                <w:kern w:val="0"/>
                <w:szCs w:val="21"/>
                <w:lang w:bidi="ar"/>
              </w:rPr>
              <w:t>周雪林博士、阿里巴巴产业互联网中心主任、湖畔大学、中欧商学院</w:t>
            </w:r>
            <w:r>
              <w:rPr>
                <w:rFonts w:hint="eastAsia" w:ascii="仿宋" w:hAnsi="仿宋" w:eastAsia="仿宋" w:cs="仿宋"/>
                <w:bCs/>
                <w:color w:val="000000"/>
                <w:kern w:val="0"/>
                <w:szCs w:val="21"/>
                <w:lang w:bidi="ar"/>
              </w:rPr>
              <w:t>——</w:t>
            </w:r>
            <w:r>
              <w:rPr>
                <w:rFonts w:hint="eastAsia" w:ascii="仿宋" w:hAnsi="仿宋" w:eastAsia="仿宋" w:cs="仿宋"/>
                <w:color w:val="000000"/>
                <w:kern w:val="0"/>
                <w:szCs w:val="21"/>
                <w:lang w:bidi="ar"/>
              </w:rPr>
              <w:t>陈威如教授、民生证券资管部总经理</w:t>
            </w:r>
            <w:r>
              <w:rPr>
                <w:rFonts w:hint="eastAsia" w:ascii="仿宋" w:hAnsi="仿宋" w:eastAsia="仿宋" w:cs="仿宋"/>
                <w:bCs/>
                <w:color w:val="000000"/>
                <w:kern w:val="0"/>
                <w:szCs w:val="21"/>
                <w:lang w:bidi="ar"/>
              </w:rPr>
              <w:t>——</w:t>
            </w:r>
            <w:r>
              <w:rPr>
                <w:rFonts w:hint="eastAsia" w:ascii="仿宋" w:hAnsi="仿宋" w:eastAsia="仿宋" w:cs="仿宋"/>
                <w:color w:val="000000"/>
                <w:kern w:val="0"/>
                <w:szCs w:val="21"/>
                <w:lang w:bidi="ar"/>
              </w:rPr>
              <w:t>孔庆侃、中微半导体（科创板上市公司）高级工程师</w:t>
            </w:r>
            <w:r>
              <w:rPr>
                <w:rFonts w:hint="eastAsia" w:ascii="仿宋" w:hAnsi="仿宋" w:eastAsia="仿宋" w:cs="仿宋"/>
                <w:bCs/>
                <w:color w:val="000000"/>
                <w:kern w:val="0"/>
                <w:szCs w:val="21"/>
                <w:lang w:bidi="ar"/>
              </w:rPr>
              <w:t>——</w:t>
            </w:r>
            <w:r>
              <w:rPr>
                <w:rFonts w:hint="eastAsia" w:ascii="仿宋" w:hAnsi="仿宋" w:eastAsia="仿宋" w:cs="仿宋"/>
                <w:color w:val="000000"/>
                <w:kern w:val="0"/>
                <w:szCs w:val="21"/>
                <w:lang w:bidi="ar"/>
              </w:rPr>
              <w:t>李丽、国投集团投资总监</w:t>
            </w:r>
            <w:r>
              <w:rPr>
                <w:rFonts w:hint="eastAsia" w:ascii="仿宋" w:hAnsi="仿宋" w:eastAsia="仿宋" w:cs="仿宋"/>
                <w:bCs/>
                <w:color w:val="000000"/>
                <w:kern w:val="0"/>
                <w:szCs w:val="21"/>
                <w:lang w:bidi="ar"/>
              </w:rPr>
              <w:t>——</w:t>
            </w:r>
            <w:r>
              <w:rPr>
                <w:rFonts w:hint="eastAsia" w:ascii="仿宋" w:hAnsi="仿宋" w:eastAsia="仿宋" w:cs="仿宋"/>
                <w:color w:val="000000"/>
                <w:kern w:val="0"/>
                <w:szCs w:val="21"/>
                <w:lang w:bidi="ar"/>
              </w:rPr>
              <w:t>罗金宝、摩根士丹利信息技术部运维经理——王祥、上海浦东新区心理学科带头人——孙晓青等。</w:t>
            </w:r>
          </w:p>
          <w:p>
            <w:pPr>
              <w:widowControl/>
              <w:jc w:val="left"/>
              <w:textAlignment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②</w:t>
            </w:r>
            <w:r>
              <w:rPr>
                <w:rFonts w:hint="eastAsia" w:ascii="仿宋" w:hAnsi="仿宋" w:eastAsia="仿宋" w:cs="仿宋"/>
                <w:b/>
                <w:color w:val="000000"/>
                <w:kern w:val="0"/>
                <w:szCs w:val="21"/>
                <w:lang w:bidi="ar"/>
              </w:rPr>
              <w:t>上海赴外文化交流中心参访企业名单：</w:t>
            </w:r>
            <w:r>
              <w:rPr>
                <w:rFonts w:hint="eastAsia" w:ascii="仿宋" w:hAnsi="仿宋" w:eastAsia="仿宋" w:cs="仿宋"/>
                <w:bCs/>
                <w:color w:val="000000"/>
                <w:kern w:val="0"/>
                <w:szCs w:val="21"/>
                <w:lang w:bidi="ar"/>
              </w:rPr>
              <w:t>阿里巴巴、腾讯、微软（中国）、华为、支付宝、携程、拼多多、喜马拉雅、复星集团、中国商飞、国投集团、摩根士丹利、中微半导体、小i机器人、</w:t>
            </w:r>
            <w:r>
              <w:rPr>
                <w:rFonts w:hint="eastAsia" w:ascii="仿宋" w:hAnsi="仿宋" w:eastAsia="仿宋" w:cs="仿宋"/>
                <w:bCs/>
                <w:color w:val="000000"/>
                <w:kern w:val="0"/>
                <w:szCs w:val="21"/>
                <w:lang w:eastAsia="zh-CN" w:bidi="ar"/>
              </w:rPr>
              <w:t>中欧商学院、</w:t>
            </w:r>
            <w:r>
              <w:rPr>
                <w:rFonts w:hint="eastAsia" w:ascii="仿宋" w:hAnsi="仿宋" w:eastAsia="仿宋" w:cs="仿宋"/>
                <w:bCs/>
                <w:color w:val="000000"/>
                <w:kern w:val="0"/>
                <w:szCs w:val="21"/>
                <w:lang w:bidi="ar"/>
              </w:rPr>
              <w:t>星站、中芯国际、民生证券或其他在国内外主板上市的知名公司。</w:t>
            </w:r>
          </w:p>
          <w:p>
            <w:pPr>
              <w:widowControl/>
              <w:jc w:val="left"/>
              <w:textAlignment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③如因疫情原因，主题分享嘉宾授课地址主办方将安排在上海学校、企业会议室、酒店会堂等方式进行。</w:t>
            </w:r>
          </w:p>
        </w:tc>
      </w:tr>
    </w:tbl>
    <w:p>
      <w:pPr>
        <w:spacing w:line="20" w:lineRule="exact"/>
        <w:rPr>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drawing>
        <wp:inline distT="0" distB="0" distL="114300" distR="114300">
          <wp:extent cx="5274310" cy="943610"/>
          <wp:effectExtent l="0" t="0" r="2540" b="0"/>
          <wp:docPr id="2" name="图片 2" descr="未标题-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22222"/>
                  <pic:cNvPicPr>
                    <a:picLocks noChangeAspect="1"/>
                  </pic:cNvPicPr>
                </pic:nvPicPr>
                <pic:blipFill>
                  <a:blip r:embed="rId1"/>
                  <a:stretch>
                    <a:fillRect/>
                  </a:stretch>
                </pic:blipFill>
                <pic:spPr>
                  <a:xfrm>
                    <a:off x="0" y="0"/>
                    <a:ext cx="5274310" cy="94361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inline distT="0" distB="0" distL="114300" distR="114300">
          <wp:extent cx="5274310" cy="943610"/>
          <wp:effectExtent l="0" t="0" r="0" b="8255"/>
          <wp:docPr id="4" name="图片 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标题-1"/>
                  <pic:cNvPicPr>
                    <a:picLocks noChangeAspect="1"/>
                  </pic:cNvPicPr>
                </pic:nvPicPr>
                <pic:blipFill>
                  <a:blip r:embed="rId1"/>
                  <a:stretch>
                    <a:fillRect/>
                  </a:stretch>
                </pic:blipFill>
                <pic:spPr>
                  <a:xfrm>
                    <a:off x="0" y="0"/>
                    <a:ext cx="5274310" cy="9436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A7847B"/>
    <w:multiLevelType w:val="singleLevel"/>
    <w:tmpl w:val="E1A7847B"/>
    <w:lvl w:ilvl="0" w:tentative="0">
      <w:start w:val="1"/>
      <w:numFmt w:val="decimal"/>
      <w:lvlText w:val="%1."/>
      <w:lvlJc w:val="left"/>
      <w:pPr>
        <w:tabs>
          <w:tab w:val="left" w:pos="312"/>
        </w:tabs>
      </w:pPr>
    </w:lvl>
  </w:abstractNum>
  <w:abstractNum w:abstractNumId="1">
    <w:nsid w:val="5B6C4410"/>
    <w:multiLevelType w:val="singleLevel"/>
    <w:tmpl w:val="5B6C441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3B"/>
    <w:rsid w:val="00020E5E"/>
    <w:rsid w:val="00047BA4"/>
    <w:rsid w:val="000E4ED8"/>
    <w:rsid w:val="000F4FCB"/>
    <w:rsid w:val="00133458"/>
    <w:rsid w:val="001532F7"/>
    <w:rsid w:val="00167F84"/>
    <w:rsid w:val="001918E8"/>
    <w:rsid w:val="0019243F"/>
    <w:rsid w:val="001F2C54"/>
    <w:rsid w:val="001F62A3"/>
    <w:rsid w:val="00226F7D"/>
    <w:rsid w:val="002408F4"/>
    <w:rsid w:val="002F2CBD"/>
    <w:rsid w:val="002F48BF"/>
    <w:rsid w:val="00306A01"/>
    <w:rsid w:val="00312D2D"/>
    <w:rsid w:val="0034034A"/>
    <w:rsid w:val="003B5ED7"/>
    <w:rsid w:val="00403CAE"/>
    <w:rsid w:val="00440E78"/>
    <w:rsid w:val="00466E9A"/>
    <w:rsid w:val="00535219"/>
    <w:rsid w:val="00570D14"/>
    <w:rsid w:val="005B15C7"/>
    <w:rsid w:val="005E6950"/>
    <w:rsid w:val="00630C98"/>
    <w:rsid w:val="00653C11"/>
    <w:rsid w:val="006A2107"/>
    <w:rsid w:val="006B1EF3"/>
    <w:rsid w:val="00771F70"/>
    <w:rsid w:val="0083633B"/>
    <w:rsid w:val="008D0B6B"/>
    <w:rsid w:val="008D5B2F"/>
    <w:rsid w:val="008E3C8E"/>
    <w:rsid w:val="00935ED9"/>
    <w:rsid w:val="00982164"/>
    <w:rsid w:val="009A5D4D"/>
    <w:rsid w:val="009B6FEB"/>
    <w:rsid w:val="009E44F3"/>
    <w:rsid w:val="00A0327B"/>
    <w:rsid w:val="00A2496F"/>
    <w:rsid w:val="00A655C2"/>
    <w:rsid w:val="00B36F58"/>
    <w:rsid w:val="00B8367C"/>
    <w:rsid w:val="00BA5EDE"/>
    <w:rsid w:val="00BB218C"/>
    <w:rsid w:val="00BD4EE1"/>
    <w:rsid w:val="00C13E8B"/>
    <w:rsid w:val="00C1545A"/>
    <w:rsid w:val="00C220FB"/>
    <w:rsid w:val="00C50BBF"/>
    <w:rsid w:val="00C807FA"/>
    <w:rsid w:val="00CE1FD4"/>
    <w:rsid w:val="00CE4B42"/>
    <w:rsid w:val="00D82741"/>
    <w:rsid w:val="00D94AE4"/>
    <w:rsid w:val="00DA0029"/>
    <w:rsid w:val="00DF7981"/>
    <w:rsid w:val="00E17DF5"/>
    <w:rsid w:val="00E35D58"/>
    <w:rsid w:val="00E9782C"/>
    <w:rsid w:val="00EA3336"/>
    <w:rsid w:val="00EB5921"/>
    <w:rsid w:val="00EC064E"/>
    <w:rsid w:val="00F02EB7"/>
    <w:rsid w:val="00F41622"/>
    <w:rsid w:val="00F86247"/>
    <w:rsid w:val="052B430C"/>
    <w:rsid w:val="09A17CC4"/>
    <w:rsid w:val="0B815E46"/>
    <w:rsid w:val="0B8F3ED7"/>
    <w:rsid w:val="0D833C5A"/>
    <w:rsid w:val="0FBA4FB4"/>
    <w:rsid w:val="117073E4"/>
    <w:rsid w:val="12AE5B5F"/>
    <w:rsid w:val="1445420B"/>
    <w:rsid w:val="186D3BD1"/>
    <w:rsid w:val="23E73D45"/>
    <w:rsid w:val="29D34A69"/>
    <w:rsid w:val="308F7075"/>
    <w:rsid w:val="31726F2D"/>
    <w:rsid w:val="31837A9A"/>
    <w:rsid w:val="35837992"/>
    <w:rsid w:val="383313FF"/>
    <w:rsid w:val="3A6D3AD1"/>
    <w:rsid w:val="3C814F4C"/>
    <w:rsid w:val="3D341589"/>
    <w:rsid w:val="4C092E67"/>
    <w:rsid w:val="4E0A0823"/>
    <w:rsid w:val="4E18705E"/>
    <w:rsid w:val="5525705F"/>
    <w:rsid w:val="55A96850"/>
    <w:rsid w:val="57B818E7"/>
    <w:rsid w:val="5BB71006"/>
    <w:rsid w:val="636000AB"/>
    <w:rsid w:val="67812459"/>
    <w:rsid w:val="695C507F"/>
    <w:rsid w:val="6E4F3C07"/>
    <w:rsid w:val="71790B4D"/>
    <w:rsid w:val="738A2975"/>
    <w:rsid w:val="75897A2B"/>
    <w:rsid w:val="7D7F5C1F"/>
    <w:rsid w:val="7EC86DA4"/>
    <w:rsid w:val="7EEB1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kern w:val="2"/>
      <w:sz w:val="18"/>
      <w:szCs w:val="18"/>
    </w:rPr>
  </w:style>
  <w:style w:type="paragraph" w:customStyle="1" w:styleId="8">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55276-FD65-4174-9E54-9C0A2E33354E}">
  <ds:schemaRefs/>
</ds:datastoreItem>
</file>

<file path=docProps/app.xml><?xml version="1.0" encoding="utf-8"?>
<Properties xmlns="http://schemas.openxmlformats.org/officeDocument/2006/extended-properties" xmlns:vt="http://schemas.openxmlformats.org/officeDocument/2006/docPropsVTypes">
  <Template>Normal</Template>
  <Pages>4</Pages>
  <Words>2169</Words>
  <Characters>2258</Characters>
  <Lines>16</Lines>
  <Paragraphs>4</Paragraphs>
  <TotalTime>0</TotalTime>
  <ScaleCrop>false</ScaleCrop>
  <LinksUpToDate>false</LinksUpToDate>
  <CharactersWithSpaces>2272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2020-08-27T06:50:00Z</dcterms:created>
  <dc:creator>Administrator</dc:creator>
  <cp:lastModifiedBy>霹雳丝丝</cp:lastModifiedBy>
  <cp:lastPrinted>2020-07-07T02:54:00Z</cp:lastPrinted>
  <dcterms:modified xsi:type="dcterms:W3CDTF">2020-12-18T01:02:24Z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